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w:t>
      </w:r>
      <w:r>
        <w:rPr>
          <w:rFonts w:hint="eastAsia" w:ascii="方正小标宋_GBK" w:hAnsi="华文中宋" w:eastAsia="方正小标宋_GBK" w:cs="宋体"/>
          <w:b/>
          <w:kern w:val="0"/>
          <w:sz w:val="48"/>
          <w:szCs w:val="48"/>
          <w:lang w:eastAsia="zh-CN"/>
        </w:rPr>
        <w:t>特克斯县政府采购中心</w:t>
      </w:r>
      <w:r>
        <w:rPr>
          <w:rFonts w:hint="eastAsia" w:ascii="方正小标宋_GBK" w:hAnsi="华文中宋" w:eastAsia="方正小标宋_GBK" w:cs="宋体"/>
          <w:b/>
          <w:kern w:val="0"/>
          <w:sz w:val="48"/>
          <w:szCs w:val="48"/>
        </w:rPr>
        <w:t>整体支出绩效自评报告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Ansi="宋体" w:eastAsia="仿宋_GB2312" w:cs="宋体"/>
          <w:kern w:val="0"/>
          <w:sz w:val="36"/>
          <w:szCs w:val="36"/>
          <w:highlight w:val="none"/>
        </w:rPr>
      </w:pPr>
      <w:r>
        <w:rPr>
          <w:rFonts w:hint="eastAsia" w:hAnsi="宋体" w:eastAsia="仿宋_GB2312" w:cs="宋体"/>
          <w:kern w:val="0"/>
          <w:sz w:val="36"/>
          <w:szCs w:val="36"/>
          <w:highlight w:val="none"/>
        </w:rPr>
        <w:t>部门单位名称（公章）：特克斯县政府采购中心</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 xml:space="preserve"> 年 </w:t>
      </w:r>
      <w:r>
        <w:rPr>
          <w:rFonts w:hint="eastAsia" w:hAnsi="宋体" w:eastAsia="仿宋_GB2312" w:cs="宋体"/>
          <w:kern w:val="0"/>
          <w:sz w:val="36"/>
          <w:szCs w:val="36"/>
          <w:lang w:val="en-US" w:eastAsia="zh-CN"/>
        </w:rPr>
        <w:t>4</w:t>
      </w:r>
      <w:r>
        <w:rPr>
          <w:rFonts w:hint="eastAsia" w:hAnsi="宋体" w:eastAsia="仿宋_GB2312" w:cs="宋体"/>
          <w:kern w:val="0"/>
          <w:sz w:val="36"/>
          <w:szCs w:val="36"/>
        </w:rPr>
        <w:t xml:space="preserve"> 月</w:t>
      </w:r>
      <w:r>
        <w:rPr>
          <w:rFonts w:hint="eastAsia" w:hAnsi="宋体" w:eastAsia="仿宋_GB2312" w:cs="宋体"/>
          <w:kern w:val="0"/>
          <w:sz w:val="36"/>
          <w:szCs w:val="36"/>
          <w:lang w:val="en-US" w:eastAsia="zh-CN"/>
        </w:rPr>
        <w:t xml:space="preserve"> 28 </w:t>
      </w:r>
      <w:r>
        <w:rPr>
          <w:rFonts w:hint="eastAsia" w:hAnsi="宋体" w:eastAsia="仿宋_GB2312" w:cs="宋体"/>
          <w:kern w:val="0"/>
          <w:sz w:val="36"/>
          <w:szCs w:val="36"/>
        </w:rPr>
        <w:t>日</w:t>
      </w:r>
    </w:p>
    <w:p>
      <w:pPr>
        <w:pStyle w:val="3"/>
        <w:spacing w:line="360" w:lineRule="auto"/>
        <w:rPr>
          <w:rFonts w:ascii="仿宋" w:hAnsi="仿宋" w:eastAsia="仿宋"/>
          <w:sz w:val="36"/>
          <w:szCs w:val="36"/>
          <w:lang w:bidi="ar"/>
        </w:rPr>
      </w:pPr>
      <w:bookmarkStart w:id="1" w:name="_Toc70450289"/>
      <w:r>
        <w:rPr>
          <w:rFonts w:hint="eastAsia" w:ascii="仿宋" w:hAnsi="仿宋" w:eastAsia="仿宋"/>
          <w:sz w:val="36"/>
          <w:szCs w:val="36"/>
          <w:lang w:bidi="ar"/>
        </w:rPr>
        <w:t>一、基本概况</w:t>
      </w:r>
      <w:bookmarkEnd w:id="1"/>
    </w:p>
    <w:p>
      <w:pPr>
        <w:pStyle w:val="4"/>
        <w:spacing w:line="360" w:lineRule="auto"/>
        <w:rPr>
          <w:rStyle w:val="16"/>
          <w:rFonts w:ascii="仿宋" w:hAnsi="仿宋" w:eastAsia="仿宋"/>
          <w:b/>
          <w:bCs/>
        </w:rPr>
      </w:pPr>
      <w:bookmarkStart w:id="2" w:name="_Toc70450290"/>
      <w:r>
        <w:rPr>
          <w:rStyle w:val="16"/>
          <w:rFonts w:hint="eastAsia" w:ascii="仿宋" w:hAnsi="仿宋" w:eastAsia="仿宋"/>
          <w:b/>
          <w:bCs/>
        </w:rPr>
        <w:t>（一）部门单位基本情况</w:t>
      </w:r>
      <w:bookmarkEnd w:id="2"/>
    </w:p>
    <w:p>
      <w:pPr>
        <w:pStyle w:val="5"/>
        <w:spacing w:line="360" w:lineRule="auto"/>
        <w:ind w:firstLine="562" w:firstLineChars="200"/>
        <w:rPr>
          <w:rStyle w:val="16"/>
          <w:rFonts w:ascii="仿宋" w:hAnsi="仿宋" w:eastAsia="仿宋"/>
          <w:b/>
          <w:bCs/>
        </w:rPr>
      </w:pPr>
      <w:bookmarkStart w:id="3" w:name="_Toc70450291"/>
      <w:r>
        <w:rPr>
          <w:rStyle w:val="16"/>
          <w:rFonts w:ascii="仿宋" w:hAnsi="仿宋" w:eastAsia="仿宋"/>
          <w:b/>
          <w:bCs/>
        </w:rPr>
        <w:t>1</w:t>
      </w:r>
      <w:r>
        <w:rPr>
          <w:rStyle w:val="16"/>
          <w:rFonts w:hint="eastAsia" w:ascii="仿宋" w:hAnsi="仿宋" w:eastAsia="仿宋"/>
          <w:b/>
          <w:bCs/>
        </w:rPr>
        <w:t>、主要职能</w:t>
      </w:r>
      <w:bookmarkEnd w:id="3"/>
    </w:p>
    <w:p>
      <w:pPr>
        <w:widowControl/>
        <w:spacing w:line="520" w:lineRule="atLeast"/>
        <w:ind w:firstLine="546" w:firstLineChars="200"/>
        <w:jc w:val="left"/>
        <w:rPr>
          <w:rFonts w:hint="eastAsia" w:ascii="仿宋_GB2312" w:hAnsi="仿宋_GB2312" w:eastAsia="仿宋_GB2312" w:cs="仿宋_GB2312"/>
          <w:sz w:val="28"/>
          <w:szCs w:val="28"/>
        </w:rPr>
      </w:pPr>
      <w:r>
        <w:rPr>
          <w:rStyle w:val="16"/>
          <w:rFonts w:hint="eastAsia" w:asciiTheme="minorEastAsia" w:hAnsiTheme="minorEastAsia"/>
          <w:bCs w:val="0"/>
          <w:color w:val="FF0000"/>
          <w:spacing w:val="-4"/>
          <w:sz w:val="28"/>
          <w:szCs w:val="28"/>
        </w:rPr>
        <w:t xml:space="preserve"> </w:t>
      </w:r>
      <w:r>
        <w:rPr>
          <w:rFonts w:ascii="仿宋_GB2312" w:hAnsi="仿宋_GB2312" w:eastAsia="仿宋_GB2312" w:cs="仿宋_GB2312"/>
          <w:sz w:val="32"/>
          <w:szCs w:val="32"/>
        </w:rPr>
        <w:t xml:space="preserve"> </w:t>
      </w:r>
      <w:r>
        <w:rPr>
          <w:rFonts w:hint="eastAsia" w:ascii="仿宋_GB2312" w:hAnsi="仿宋_GB2312" w:eastAsia="仿宋_GB2312" w:cs="仿宋_GB2312"/>
          <w:sz w:val="28"/>
          <w:szCs w:val="28"/>
        </w:rPr>
        <w:t>1、组织政府采购活动、负责组织实施本度集中采购目录以内或限额标准以上通用项目的政府采购、办理政府采购监督管理部门交办的其他采购项目；</w:t>
      </w:r>
    </w:p>
    <w:p>
      <w:pPr>
        <w:widowControl/>
        <w:spacing w:line="520" w:lineRule="atLeas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2、发布政府采购信息，在政府采购监督管理部门指定媒体发布政府采购公告、中标（成交）公告等有关采购信息；</w:t>
      </w:r>
    </w:p>
    <w:p>
      <w:pPr>
        <w:widowControl/>
        <w:spacing w:line="520" w:lineRule="atLeas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3、编制采购文件、制定评标原则和评分标准等；</w:t>
      </w:r>
    </w:p>
    <w:p>
      <w:pPr>
        <w:widowControl/>
        <w:spacing w:line="520" w:lineRule="atLeas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4、向同级政府采购监督管理机构报送有关采购项目的采购公告、采购文件、评标办法、评标报告等管理政府采购项目文件档案；</w:t>
      </w:r>
    </w:p>
    <w:p>
      <w:pPr>
        <w:widowControl/>
        <w:spacing w:line="520" w:lineRule="atLeas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5、按照《政府采购法》的有关规定负责“评标委员会”“谈判小组”“询价小组”的组建工作；</w:t>
      </w:r>
    </w:p>
    <w:p>
      <w:pPr>
        <w:widowControl/>
        <w:spacing w:line="520" w:lineRule="atLeas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6、受理和答复供应商的询问或者质疑；</w:t>
      </w:r>
    </w:p>
    <w:p>
      <w:pPr>
        <w:widowControl/>
        <w:spacing w:line="520" w:lineRule="atLeas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7、管理采购人员负责机构内部工作人员的教育和培训、科学设置内部机构、制定内部工作管理办法；</w:t>
      </w:r>
    </w:p>
    <w:p>
      <w:pPr>
        <w:widowControl/>
        <w:spacing w:line="520" w:lineRule="atLeas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8、负责政采云平台供应商入驻，审核上传商品。</w:t>
      </w:r>
    </w:p>
    <w:p>
      <w:pPr>
        <w:widowControl/>
        <w:spacing w:line="520" w:lineRule="atLeas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9、接受同级政府采购监督管理机构的业务考核和监督检查；</w:t>
      </w:r>
    </w:p>
    <w:p>
      <w:pPr>
        <w:widowControl/>
        <w:spacing w:line="520" w:lineRule="atLeast"/>
        <w:ind w:firstLine="560" w:firstLineChars="200"/>
        <w:jc w:val="left"/>
        <w:rPr>
          <w:rStyle w:val="16"/>
          <w:rFonts w:hint="eastAsia" w:ascii="仿宋_GB2312" w:hAnsi="仿宋_GB2312" w:eastAsia="仿宋_GB2312" w:cs="仿宋_GB2312"/>
          <w:bCs w:val="0"/>
          <w:color w:val="FF0000"/>
          <w:spacing w:val="-4"/>
          <w:sz w:val="28"/>
          <w:szCs w:val="28"/>
        </w:rPr>
      </w:pPr>
      <w:r>
        <w:rPr>
          <w:rFonts w:hint="eastAsia" w:ascii="仿宋_GB2312" w:hAnsi="仿宋_GB2312" w:eastAsia="仿宋_GB2312" w:cs="仿宋_GB2312"/>
          <w:sz w:val="28"/>
          <w:szCs w:val="28"/>
        </w:rPr>
        <w:t xml:space="preserve">  10、完成县委、政府交办的其它工作。</w:t>
      </w:r>
    </w:p>
    <w:p>
      <w:pPr>
        <w:pStyle w:val="5"/>
        <w:spacing w:line="360" w:lineRule="auto"/>
        <w:ind w:firstLine="562" w:firstLineChars="200"/>
        <w:rPr>
          <w:rStyle w:val="16"/>
          <w:rFonts w:ascii="仿宋" w:hAnsi="仿宋" w:eastAsia="仿宋"/>
          <w:b/>
          <w:bCs/>
        </w:rPr>
      </w:pPr>
      <w:bookmarkStart w:id="4" w:name="_Toc70450292"/>
      <w:r>
        <w:rPr>
          <w:rStyle w:val="16"/>
          <w:rFonts w:hint="eastAsia" w:ascii="仿宋" w:hAnsi="仿宋" w:eastAsia="仿宋"/>
          <w:b/>
          <w:bCs/>
        </w:rPr>
        <w:t>2、机构人员构成</w:t>
      </w:r>
      <w:bookmarkEnd w:id="4"/>
    </w:p>
    <w:p>
      <w:pPr>
        <w:spacing w:line="360" w:lineRule="auto"/>
        <w:ind w:firstLine="546" w:firstLineChars="200"/>
        <w:rPr>
          <w:rStyle w:val="16"/>
          <w:rFonts w:ascii="仿宋_GB2312" w:hAnsi="楷体" w:eastAsia="仿宋_GB2312"/>
          <w:b/>
          <w:bCs w:val="0"/>
          <w:spacing w:val="-4"/>
          <w:sz w:val="28"/>
          <w:szCs w:val="28"/>
        </w:rPr>
      </w:pPr>
      <w:r>
        <w:rPr>
          <w:rStyle w:val="16"/>
          <w:rFonts w:hint="eastAsia" w:ascii="仿宋_GB2312" w:hAnsi="楷体" w:eastAsia="仿宋_GB2312"/>
          <w:b/>
          <w:bCs w:val="0"/>
          <w:spacing w:val="-4"/>
          <w:sz w:val="28"/>
          <w:szCs w:val="28"/>
        </w:rPr>
        <w:t>（1）组织机构设置：</w:t>
      </w:r>
    </w:p>
    <w:p>
      <w:pPr>
        <w:spacing w:line="360" w:lineRule="auto"/>
        <w:ind w:firstLine="560" w:firstLineChars="200"/>
        <w:rPr>
          <w:rStyle w:val="16"/>
          <w:rFonts w:hint="eastAsia" w:ascii="仿宋_GB2312" w:hAnsi="楷体" w:eastAsia="仿宋_GB2312"/>
          <w:b w:val="0"/>
          <w:color w:val="auto"/>
          <w:spacing w:val="-4"/>
          <w:sz w:val="28"/>
          <w:szCs w:val="28"/>
          <w:highlight w:val="none"/>
        </w:rPr>
      </w:pPr>
      <w:r>
        <w:rPr>
          <w:rFonts w:ascii="仿宋_GB2312" w:hAnsi="仿宋_GB2312" w:eastAsia="仿宋_GB2312" w:cs="仿宋_GB2312"/>
          <w:color w:val="auto"/>
          <w:kern w:val="1"/>
          <w:sz w:val="28"/>
          <w:szCs w:val="28"/>
          <w:highlight w:val="none"/>
        </w:rPr>
        <w:t>特克斯县政府采购中心</w:t>
      </w:r>
      <w:r>
        <w:rPr>
          <w:rStyle w:val="16"/>
          <w:rFonts w:hint="eastAsia" w:ascii="仿宋_GB2312" w:hAnsi="楷体" w:eastAsia="仿宋_GB2312"/>
          <w:b w:val="0"/>
          <w:color w:val="auto"/>
          <w:spacing w:val="-4"/>
          <w:sz w:val="28"/>
          <w:szCs w:val="28"/>
          <w:highlight w:val="none"/>
        </w:rPr>
        <w:t>无下属预算单位，下设</w:t>
      </w:r>
      <w:r>
        <w:rPr>
          <w:rStyle w:val="16"/>
          <w:rFonts w:hint="eastAsia" w:ascii="仿宋_GB2312" w:hAnsi="楷体" w:eastAsia="仿宋_GB2312"/>
          <w:b w:val="0"/>
          <w:color w:val="auto"/>
          <w:spacing w:val="-4"/>
          <w:sz w:val="28"/>
          <w:szCs w:val="28"/>
          <w:highlight w:val="none"/>
          <w:lang w:val="en-US" w:eastAsia="zh-CN"/>
        </w:rPr>
        <w:t>0</w:t>
      </w:r>
      <w:r>
        <w:rPr>
          <w:rStyle w:val="16"/>
          <w:rFonts w:hint="eastAsia" w:ascii="仿宋_GB2312" w:hAnsi="楷体" w:eastAsia="仿宋_GB2312"/>
          <w:b w:val="0"/>
          <w:color w:val="auto"/>
          <w:spacing w:val="-4"/>
          <w:sz w:val="28"/>
          <w:szCs w:val="28"/>
          <w:highlight w:val="none"/>
        </w:rPr>
        <w:t>个</w:t>
      </w:r>
      <w:r>
        <w:rPr>
          <w:rStyle w:val="16"/>
          <w:rFonts w:hint="eastAsia" w:ascii="仿宋_GB2312" w:hAnsi="楷体" w:eastAsia="仿宋_GB2312"/>
          <w:b w:val="0"/>
          <w:color w:val="auto"/>
          <w:spacing w:val="-4"/>
          <w:sz w:val="28"/>
          <w:szCs w:val="28"/>
          <w:highlight w:val="none"/>
          <w:lang w:val="en-US" w:eastAsia="zh-CN"/>
        </w:rPr>
        <w:t>科</w:t>
      </w:r>
      <w:r>
        <w:rPr>
          <w:rStyle w:val="16"/>
          <w:rFonts w:hint="eastAsia" w:ascii="仿宋_GB2312" w:hAnsi="楷体" w:eastAsia="仿宋_GB2312"/>
          <w:b w:val="0"/>
          <w:color w:val="auto"/>
          <w:spacing w:val="-4"/>
          <w:sz w:val="28"/>
          <w:szCs w:val="28"/>
          <w:highlight w:val="none"/>
        </w:rPr>
        <w:t>室，分别是：</w:t>
      </w:r>
      <w:r>
        <w:rPr>
          <w:rStyle w:val="16"/>
          <w:rFonts w:hint="eastAsia" w:ascii="仿宋_GB2312" w:hAnsi="楷体" w:eastAsia="仿宋_GB2312"/>
          <w:b w:val="0"/>
          <w:color w:val="auto"/>
          <w:spacing w:val="-4"/>
          <w:sz w:val="28"/>
          <w:szCs w:val="28"/>
          <w:highlight w:val="none"/>
          <w:lang w:val="en-US" w:eastAsia="zh-CN"/>
        </w:rPr>
        <w:t>无</w:t>
      </w:r>
      <w:r>
        <w:rPr>
          <w:rStyle w:val="16"/>
          <w:rFonts w:hint="eastAsia" w:ascii="仿宋_GB2312" w:hAnsi="楷体" w:eastAsia="仿宋_GB2312"/>
          <w:b w:val="0"/>
          <w:color w:val="auto"/>
          <w:spacing w:val="-4"/>
          <w:sz w:val="28"/>
          <w:szCs w:val="28"/>
          <w:highlight w:val="none"/>
        </w:rPr>
        <w:t>。</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color w:val="auto"/>
          <w:spacing w:val="-4"/>
          <w:sz w:val="28"/>
          <w:szCs w:val="28"/>
          <w:highlight w:val="none"/>
        </w:rPr>
        <w:t>（2）2021年</w:t>
      </w:r>
      <w:r>
        <w:rPr>
          <w:rFonts w:ascii="仿宋_GB2312" w:hAnsi="仿宋_GB2312" w:eastAsia="仿宋_GB2312" w:cs="仿宋_GB2312"/>
          <w:color w:val="auto"/>
          <w:kern w:val="1"/>
          <w:sz w:val="28"/>
          <w:szCs w:val="28"/>
          <w:highlight w:val="none"/>
        </w:rPr>
        <w:t>特克斯县政府采购中心</w:t>
      </w:r>
      <w:r>
        <w:rPr>
          <w:rStyle w:val="16"/>
          <w:rFonts w:hint="eastAsia" w:ascii="仿宋_GB2312" w:hAnsi="楷体" w:eastAsia="仿宋_GB2312"/>
          <w:b w:val="0"/>
          <w:spacing w:val="-4"/>
          <w:sz w:val="28"/>
          <w:szCs w:val="28"/>
          <w:highlight w:val="none"/>
        </w:rPr>
        <w:t>实有在职人员为</w:t>
      </w:r>
      <w:r>
        <w:rPr>
          <w:rStyle w:val="16"/>
          <w:rFonts w:hint="eastAsia" w:ascii="仿宋_GB2312" w:hAnsi="楷体" w:eastAsia="仿宋_GB2312"/>
          <w:b w:val="0"/>
          <w:spacing w:val="-4"/>
          <w:sz w:val="28"/>
          <w:szCs w:val="28"/>
          <w:highlight w:val="none"/>
          <w:lang w:val="en-US" w:eastAsia="zh-CN"/>
        </w:rPr>
        <w:t>3</w:t>
      </w:r>
      <w:r>
        <w:rPr>
          <w:rStyle w:val="16"/>
          <w:rFonts w:hint="eastAsia" w:ascii="仿宋_GB2312" w:hAnsi="楷体" w:eastAsia="仿宋_GB2312"/>
          <w:b w:val="0"/>
          <w:spacing w:val="-4"/>
          <w:sz w:val="28"/>
          <w:szCs w:val="28"/>
          <w:highlight w:val="none"/>
        </w:rPr>
        <w:t>人，其中：</w:t>
      </w:r>
    </w:p>
    <w:p>
      <w:pPr>
        <w:spacing w:line="360" w:lineRule="auto"/>
        <w:ind w:firstLine="544" w:firstLineChars="200"/>
        <w:rPr>
          <w:rStyle w:val="16"/>
          <w:rFonts w:hint="eastAsia" w:ascii="仿宋_GB2312" w:hAnsi="楷体" w:eastAsia="仿宋_GB2312"/>
          <w:b w:val="0"/>
          <w:color w:val="auto"/>
          <w:spacing w:val="-4"/>
          <w:sz w:val="28"/>
          <w:szCs w:val="28"/>
          <w:highlight w:val="none"/>
        </w:rPr>
      </w:pPr>
      <w:r>
        <w:rPr>
          <w:rStyle w:val="16"/>
          <w:rFonts w:hint="eastAsia" w:ascii="仿宋_GB2312" w:hAnsi="楷体" w:eastAsia="仿宋_GB2312"/>
          <w:b w:val="0"/>
          <w:spacing w:val="-4"/>
          <w:sz w:val="28"/>
          <w:szCs w:val="28"/>
          <w:highlight w:val="none"/>
        </w:rPr>
        <w:t>行政在职</w:t>
      </w:r>
      <w:r>
        <w:rPr>
          <w:rStyle w:val="16"/>
          <w:rFonts w:hint="eastAsia" w:ascii="仿宋_GB2312" w:hAnsi="楷体" w:eastAsia="仿宋_GB2312"/>
          <w:b w:val="0"/>
          <w:spacing w:val="-4"/>
          <w:sz w:val="28"/>
          <w:szCs w:val="28"/>
          <w:highlight w:val="none"/>
          <w:lang w:val="en-US" w:eastAsia="zh-CN"/>
        </w:rPr>
        <w:t>1</w:t>
      </w:r>
      <w:r>
        <w:rPr>
          <w:rStyle w:val="16"/>
          <w:rFonts w:hint="eastAsia" w:ascii="仿宋_GB2312" w:hAnsi="楷体" w:eastAsia="仿宋_GB2312"/>
          <w:b w:val="0"/>
          <w:spacing w:val="-4"/>
          <w:sz w:val="28"/>
          <w:szCs w:val="28"/>
          <w:highlight w:val="none"/>
        </w:rPr>
        <w:t>人（上年</w:t>
      </w:r>
      <w:r>
        <w:rPr>
          <w:rStyle w:val="16"/>
          <w:rFonts w:hint="eastAsia" w:ascii="仿宋_GB2312" w:hAnsi="楷体" w:eastAsia="仿宋_GB2312"/>
          <w:b w:val="0"/>
          <w:spacing w:val="-4"/>
          <w:sz w:val="28"/>
          <w:szCs w:val="28"/>
          <w:highlight w:val="none"/>
          <w:lang w:val="en-US" w:eastAsia="zh-CN"/>
        </w:rPr>
        <w:t>1</w:t>
      </w:r>
      <w:r>
        <w:rPr>
          <w:rStyle w:val="16"/>
          <w:rFonts w:hint="eastAsia" w:ascii="仿宋_GB2312" w:hAnsi="楷体" w:eastAsia="仿宋_GB2312"/>
          <w:b w:val="0"/>
          <w:spacing w:val="-4"/>
          <w:sz w:val="28"/>
          <w:szCs w:val="28"/>
          <w:highlight w:val="none"/>
        </w:rPr>
        <w:t>人），</w:t>
      </w:r>
      <w:r>
        <w:rPr>
          <w:rStyle w:val="16"/>
          <w:rFonts w:hint="eastAsia" w:ascii="仿宋_GB2312" w:hAnsi="楷体" w:eastAsia="仿宋_GB2312"/>
          <w:b w:val="0"/>
          <w:color w:val="auto"/>
          <w:spacing w:val="-4"/>
          <w:sz w:val="28"/>
          <w:szCs w:val="28"/>
          <w:highlight w:val="none"/>
        </w:rPr>
        <w:t>与上年一致；</w:t>
      </w:r>
    </w:p>
    <w:p>
      <w:pPr>
        <w:spacing w:line="360" w:lineRule="auto"/>
        <w:ind w:firstLine="544" w:firstLineChars="200"/>
        <w:rPr>
          <w:rStyle w:val="16"/>
          <w:rFonts w:hint="default" w:ascii="仿宋_GB2312" w:hAnsi="楷体" w:eastAsia="仿宋_GB2312"/>
          <w:b w:val="0"/>
          <w:color w:val="auto"/>
          <w:spacing w:val="-4"/>
          <w:sz w:val="28"/>
          <w:szCs w:val="28"/>
          <w:highlight w:val="none"/>
          <w:lang w:val="en-US" w:eastAsia="zh-CN"/>
        </w:rPr>
      </w:pPr>
      <w:r>
        <w:rPr>
          <w:rStyle w:val="16"/>
          <w:rFonts w:hint="eastAsia" w:ascii="仿宋_GB2312" w:hAnsi="楷体" w:eastAsia="仿宋_GB2312"/>
          <w:b w:val="0"/>
          <w:color w:val="auto"/>
          <w:spacing w:val="-4"/>
          <w:sz w:val="28"/>
          <w:szCs w:val="28"/>
          <w:highlight w:val="none"/>
          <w:lang w:val="en-US" w:eastAsia="zh-CN"/>
        </w:rPr>
        <w:t>事业在职2人（上年2人），</w:t>
      </w:r>
      <w:r>
        <w:rPr>
          <w:rStyle w:val="16"/>
          <w:rFonts w:hint="eastAsia" w:ascii="仿宋_GB2312" w:hAnsi="楷体" w:eastAsia="仿宋_GB2312"/>
          <w:b w:val="0"/>
          <w:color w:val="auto"/>
          <w:spacing w:val="-4"/>
          <w:sz w:val="28"/>
          <w:szCs w:val="28"/>
          <w:highlight w:val="none"/>
        </w:rPr>
        <w:t>与上年一致；</w:t>
      </w:r>
    </w:p>
    <w:p>
      <w:pPr>
        <w:spacing w:line="360" w:lineRule="auto"/>
        <w:ind w:firstLine="544" w:firstLineChars="200"/>
        <w:rPr>
          <w:rStyle w:val="16"/>
          <w:rFonts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rPr>
        <w:t>实有离休人员</w:t>
      </w:r>
      <w:r>
        <w:rPr>
          <w:rStyle w:val="16"/>
          <w:rFonts w:hint="eastAsia" w:ascii="仿宋_GB2312" w:hAnsi="楷体" w:eastAsia="仿宋_GB2312"/>
          <w:b w:val="0"/>
          <w:color w:val="auto"/>
          <w:spacing w:val="-4"/>
          <w:sz w:val="28"/>
          <w:szCs w:val="28"/>
          <w:highlight w:val="none"/>
          <w:lang w:val="en-US" w:eastAsia="zh-CN"/>
        </w:rPr>
        <w:t>0</w:t>
      </w:r>
      <w:r>
        <w:rPr>
          <w:rStyle w:val="16"/>
          <w:rFonts w:hint="eastAsia" w:ascii="仿宋_GB2312" w:hAnsi="楷体" w:eastAsia="仿宋_GB2312"/>
          <w:b w:val="0"/>
          <w:color w:val="auto"/>
          <w:spacing w:val="-4"/>
          <w:sz w:val="28"/>
          <w:szCs w:val="28"/>
          <w:highlight w:val="none"/>
        </w:rPr>
        <w:t>人（上年</w:t>
      </w:r>
      <w:r>
        <w:rPr>
          <w:rStyle w:val="16"/>
          <w:rFonts w:hint="eastAsia" w:ascii="仿宋_GB2312" w:hAnsi="楷体" w:eastAsia="仿宋_GB2312"/>
          <w:b w:val="0"/>
          <w:color w:val="auto"/>
          <w:spacing w:val="-4"/>
          <w:sz w:val="28"/>
          <w:szCs w:val="28"/>
          <w:highlight w:val="none"/>
          <w:lang w:val="en-US" w:eastAsia="zh-CN"/>
        </w:rPr>
        <w:t>0</w:t>
      </w:r>
      <w:r>
        <w:rPr>
          <w:rStyle w:val="16"/>
          <w:rFonts w:hint="eastAsia" w:ascii="仿宋_GB2312" w:hAnsi="楷体" w:eastAsia="仿宋_GB2312"/>
          <w:b w:val="0"/>
          <w:color w:val="auto"/>
          <w:spacing w:val="-4"/>
          <w:sz w:val="28"/>
          <w:szCs w:val="28"/>
          <w:highlight w:val="none"/>
        </w:rPr>
        <w:t>人）,</w:t>
      </w:r>
      <w:r>
        <w:rPr>
          <w:rFonts w:hint="eastAsia" w:ascii="仿宋_GB2312" w:hAnsi="楷体" w:eastAsia="仿宋_GB2312"/>
          <w:b/>
          <w:color w:val="auto"/>
          <w:spacing w:val="-4"/>
          <w:sz w:val="28"/>
          <w:szCs w:val="28"/>
          <w:highlight w:val="none"/>
        </w:rPr>
        <w:t xml:space="preserve"> </w:t>
      </w:r>
      <w:r>
        <w:rPr>
          <w:rStyle w:val="16"/>
          <w:rFonts w:hint="eastAsia" w:ascii="仿宋_GB2312" w:hAnsi="楷体" w:eastAsia="仿宋_GB2312"/>
          <w:b w:val="0"/>
          <w:color w:val="auto"/>
          <w:spacing w:val="-4"/>
          <w:sz w:val="28"/>
          <w:szCs w:val="28"/>
          <w:highlight w:val="none"/>
        </w:rPr>
        <w:t>与上年一致。</w:t>
      </w:r>
    </w:p>
    <w:p>
      <w:pPr>
        <w:spacing w:line="360" w:lineRule="auto"/>
        <w:ind w:firstLine="544" w:firstLineChars="200"/>
        <w:rPr>
          <w:rFonts w:hint="eastAsia" w:ascii="仿宋_GB2312" w:hAnsi="仿宋_GB2312" w:eastAsia="仿宋_GB2312" w:cs="仿宋_GB2312"/>
          <w:color w:val="auto"/>
          <w:kern w:val="1"/>
          <w:sz w:val="32"/>
          <w:szCs w:val="32"/>
          <w:highlight w:val="none"/>
        </w:rPr>
      </w:pPr>
      <w:r>
        <w:rPr>
          <w:rStyle w:val="16"/>
          <w:rFonts w:hint="eastAsia" w:ascii="仿宋_GB2312" w:hAnsi="楷体" w:eastAsia="仿宋_GB2312"/>
          <w:b w:val="0"/>
          <w:color w:val="auto"/>
          <w:spacing w:val="-4"/>
          <w:sz w:val="28"/>
          <w:szCs w:val="28"/>
          <w:highlight w:val="none"/>
        </w:rPr>
        <w:t>实有退休人员</w:t>
      </w:r>
      <w:r>
        <w:rPr>
          <w:rStyle w:val="16"/>
          <w:rFonts w:hint="eastAsia" w:ascii="仿宋_GB2312" w:hAnsi="楷体" w:eastAsia="仿宋_GB2312"/>
          <w:b w:val="0"/>
          <w:color w:val="auto"/>
          <w:spacing w:val="-4"/>
          <w:sz w:val="28"/>
          <w:szCs w:val="28"/>
          <w:highlight w:val="none"/>
          <w:lang w:val="en-US" w:eastAsia="zh-CN"/>
        </w:rPr>
        <w:t>0</w:t>
      </w:r>
      <w:r>
        <w:rPr>
          <w:rStyle w:val="16"/>
          <w:rFonts w:hint="eastAsia" w:ascii="仿宋_GB2312" w:hAnsi="楷体" w:eastAsia="仿宋_GB2312"/>
          <w:b w:val="0"/>
          <w:color w:val="auto"/>
          <w:spacing w:val="-4"/>
          <w:sz w:val="28"/>
          <w:szCs w:val="28"/>
          <w:highlight w:val="none"/>
        </w:rPr>
        <w:t>人（上年</w:t>
      </w:r>
      <w:r>
        <w:rPr>
          <w:rStyle w:val="16"/>
          <w:rFonts w:hint="eastAsia" w:ascii="仿宋_GB2312" w:hAnsi="楷体" w:eastAsia="仿宋_GB2312"/>
          <w:b w:val="0"/>
          <w:color w:val="auto"/>
          <w:spacing w:val="-4"/>
          <w:sz w:val="28"/>
          <w:szCs w:val="28"/>
          <w:highlight w:val="none"/>
          <w:lang w:val="en-US" w:eastAsia="zh-CN"/>
        </w:rPr>
        <w:t>0</w:t>
      </w:r>
      <w:r>
        <w:rPr>
          <w:rStyle w:val="16"/>
          <w:rFonts w:hint="eastAsia" w:ascii="仿宋_GB2312" w:hAnsi="楷体" w:eastAsia="仿宋_GB2312"/>
          <w:b w:val="0"/>
          <w:color w:val="auto"/>
          <w:spacing w:val="-4"/>
          <w:sz w:val="28"/>
          <w:szCs w:val="28"/>
          <w:highlight w:val="none"/>
        </w:rPr>
        <w:t>人）,</w:t>
      </w:r>
      <w:r>
        <w:rPr>
          <w:rFonts w:hint="eastAsia" w:ascii="仿宋_GB2312" w:hAnsi="楷体" w:eastAsia="仿宋_GB2312"/>
          <w:b/>
          <w:color w:val="auto"/>
          <w:spacing w:val="-4"/>
          <w:sz w:val="28"/>
          <w:szCs w:val="28"/>
          <w:highlight w:val="none"/>
        </w:rPr>
        <w:t xml:space="preserve"> </w:t>
      </w:r>
      <w:r>
        <w:rPr>
          <w:rStyle w:val="16"/>
          <w:rFonts w:hint="eastAsia" w:ascii="仿宋_GB2312" w:hAnsi="楷体" w:eastAsia="仿宋_GB2312"/>
          <w:b w:val="0"/>
          <w:color w:val="auto"/>
          <w:spacing w:val="-4"/>
          <w:sz w:val="28"/>
          <w:szCs w:val="28"/>
          <w:highlight w:val="none"/>
        </w:rPr>
        <w:t>与上年一致。</w:t>
      </w:r>
    </w:p>
    <w:p>
      <w:pPr>
        <w:pStyle w:val="5"/>
        <w:spacing w:line="360" w:lineRule="auto"/>
        <w:ind w:firstLine="562" w:firstLineChars="200"/>
        <w:rPr>
          <w:rStyle w:val="16"/>
          <w:rFonts w:ascii="仿宋" w:hAnsi="仿宋" w:eastAsia="仿宋"/>
          <w:b/>
          <w:bCs/>
        </w:rPr>
      </w:pPr>
      <w:bookmarkStart w:id="5" w:name="_Toc70450293"/>
      <w:r>
        <w:rPr>
          <w:rStyle w:val="16"/>
          <w:rFonts w:ascii="仿宋" w:hAnsi="仿宋" w:eastAsia="仿宋"/>
          <w:b/>
          <w:bCs/>
        </w:rPr>
        <w:t>3</w:t>
      </w:r>
      <w:r>
        <w:rPr>
          <w:rStyle w:val="16"/>
          <w:rFonts w:hint="eastAsia" w:ascii="仿宋" w:hAnsi="仿宋" w:eastAsia="仿宋"/>
          <w:b/>
          <w:bCs/>
        </w:rPr>
        <w:t>、重点工作计划</w:t>
      </w:r>
      <w:bookmarkEnd w:id="5"/>
    </w:p>
    <w:p>
      <w:pPr>
        <w:pStyle w:val="3"/>
        <w:widowControl/>
        <w:numPr>
          <w:ilvl w:val="0"/>
          <w:numId w:val="1"/>
        </w:numPr>
        <w:spacing w:beforeAutospacing="0" w:after="0" w:afterAutospacing="0" w:line="600" w:lineRule="exact"/>
        <w:ind w:firstLine="643" w:firstLineChars="200"/>
        <w:rPr>
          <w:rFonts w:ascii="仿宋" w:hAnsi="仿宋" w:eastAsia="仿宋" w:cs="仿宋"/>
          <w:sz w:val="32"/>
          <w:szCs w:val="32"/>
        </w:rPr>
      </w:pPr>
      <w:bookmarkStart w:id="6" w:name="_Toc70450294"/>
      <w:r>
        <w:rPr>
          <w:rFonts w:ascii="仿宋" w:hAnsi="仿宋" w:eastAsia="仿宋" w:cs="仿宋"/>
          <w:sz w:val="32"/>
          <w:szCs w:val="32"/>
          <w:lang w:val="zh-CN"/>
        </w:rPr>
        <w:t>积极配合完成</w:t>
      </w:r>
      <w:r>
        <w:rPr>
          <w:rFonts w:ascii="仿宋" w:hAnsi="仿宋" w:eastAsia="仿宋" w:cs="仿宋"/>
          <w:sz w:val="32"/>
          <w:szCs w:val="32"/>
        </w:rPr>
        <w:t>政府采购代理机构监督检查工作</w:t>
      </w:r>
    </w:p>
    <w:p>
      <w:pPr>
        <w:ind w:firstLine="560" w:firstLineChars="200"/>
        <w:rPr>
          <w:sz w:val="28"/>
          <w:szCs w:val="28"/>
        </w:rPr>
      </w:pPr>
      <w:r>
        <w:rPr>
          <w:rFonts w:hint="eastAsia" w:ascii="仿宋" w:hAnsi="仿宋" w:eastAsia="仿宋" w:cs="仿宋"/>
          <w:color w:val="333333"/>
          <w:sz w:val="28"/>
          <w:szCs w:val="28"/>
        </w:rPr>
        <w:t>检查项目由财政局检查组在20</w:t>
      </w:r>
      <w:r>
        <w:rPr>
          <w:rFonts w:hint="eastAsia" w:ascii="仿宋" w:hAnsi="仿宋" w:eastAsia="仿宋" w:cs="仿宋"/>
          <w:color w:val="333333"/>
          <w:sz w:val="28"/>
          <w:szCs w:val="28"/>
          <w:lang w:val="en-US" w:eastAsia="zh-CN"/>
        </w:rPr>
        <w:t>21</w:t>
      </w:r>
      <w:r>
        <w:rPr>
          <w:rFonts w:hint="eastAsia" w:ascii="仿宋" w:hAnsi="仿宋" w:eastAsia="仿宋" w:cs="仿宋"/>
          <w:color w:val="333333"/>
          <w:sz w:val="28"/>
          <w:szCs w:val="28"/>
        </w:rPr>
        <w:t>年已完成的政府采购项目中随机抽取，共抽取检查项目8个。为保证监督检查工作的效果，检查组严格按照财政部“政府代理机构专项检查标准体系”的要求采取书面检查和现场检查相结合的方式进行，在检查过程中统一执法标准，“一把尺子”量到底。检查内容涵盖委托代理协议、文件编制、进口核准、评审过程、中标成交、保证金管理、质疑答复、采购方式变更、采购合同管理、采购信息公告等方面。</w:t>
      </w:r>
    </w:p>
    <w:p>
      <w:pPr>
        <w:widowControl/>
        <w:spacing w:before="100" w:after="100" w:line="540" w:lineRule="exact"/>
        <w:ind w:firstLine="643" w:firstLineChars="200"/>
        <w:jc w:val="left"/>
        <w:rPr>
          <w:rFonts w:hint="eastAsia" w:ascii="仿宋" w:hAnsi="仿宋" w:eastAsia="仿宋" w:cs="宋体"/>
          <w:b/>
          <w:kern w:val="0"/>
          <w:sz w:val="32"/>
          <w:szCs w:val="32"/>
          <w:lang w:val="zh-CN"/>
        </w:rPr>
      </w:pPr>
      <w:r>
        <w:rPr>
          <w:rFonts w:hint="eastAsia" w:ascii="仿宋" w:hAnsi="仿宋" w:eastAsia="仿宋" w:cs="宋体"/>
          <w:b/>
          <w:kern w:val="0"/>
          <w:sz w:val="32"/>
          <w:szCs w:val="32"/>
          <w:lang w:val="zh-CN"/>
        </w:rPr>
        <w:t>二、持续优化政府采购营商环境</w:t>
      </w:r>
    </w:p>
    <w:p>
      <w:pPr>
        <w:numPr>
          <w:ilvl w:val="0"/>
          <w:numId w:val="0"/>
        </w:numPr>
        <w:ind w:firstLine="560" w:firstLineChars="200"/>
        <w:rPr>
          <w:rFonts w:hint="eastAsia" w:ascii="仿宋" w:hAnsi="仿宋" w:eastAsia="仿宋" w:cs="宋体"/>
          <w:kern w:val="0"/>
          <w:sz w:val="32"/>
          <w:szCs w:val="32"/>
          <w:lang w:val="zh-CN"/>
        </w:rPr>
      </w:pPr>
      <w:r>
        <w:rPr>
          <w:rFonts w:hint="eastAsia" w:ascii="仿宋" w:hAnsi="仿宋" w:eastAsia="仿宋" w:cs="宋体"/>
          <w:kern w:val="0"/>
          <w:sz w:val="28"/>
          <w:szCs w:val="28"/>
          <w:lang w:val="zh-CN"/>
        </w:rPr>
        <w:t>采购中心除涉及国家秘密外，积极向市场主体提供政府采购所有依法公开的采购要求、采购机会等信息，将其中的商业机会公开透明地给予所有潜在的供应商，做到计划、流程、结果等全过程信息按规范统一的格式在指定的媒体上及时发布，提高公众对政府采购的知情权和采购效率。</w:t>
      </w:r>
    </w:p>
    <w:p>
      <w:pPr>
        <w:widowControl/>
        <w:spacing w:before="100" w:after="100" w:line="540" w:lineRule="exact"/>
        <w:ind w:firstLine="803" w:firstLineChars="250"/>
        <w:jc w:val="left"/>
        <w:rPr>
          <w:rFonts w:hint="eastAsia" w:ascii="仿宋" w:hAnsi="仿宋" w:eastAsia="仿宋" w:cs="宋体"/>
          <w:b/>
          <w:kern w:val="0"/>
          <w:sz w:val="32"/>
          <w:szCs w:val="32"/>
        </w:rPr>
      </w:pPr>
      <w:r>
        <w:rPr>
          <w:rFonts w:hint="eastAsia" w:ascii="仿宋" w:hAnsi="仿宋" w:eastAsia="仿宋" w:cs="宋体"/>
          <w:b/>
          <w:kern w:val="0"/>
          <w:sz w:val="32"/>
          <w:szCs w:val="32"/>
          <w:lang w:val="zh-CN"/>
        </w:rPr>
        <w:t>三、积极推行互联网</w:t>
      </w:r>
      <w:r>
        <w:rPr>
          <w:rFonts w:hint="eastAsia" w:ascii="仿宋" w:hAnsi="仿宋" w:eastAsia="仿宋" w:cs="宋体"/>
          <w:b/>
          <w:kern w:val="0"/>
          <w:sz w:val="32"/>
          <w:szCs w:val="32"/>
        </w:rPr>
        <w:t>+政府采购工作</w:t>
      </w:r>
    </w:p>
    <w:p>
      <w:pPr>
        <w:pStyle w:val="12"/>
        <w:widowControl/>
        <w:spacing w:before="0" w:beforeAutospacing="0" w:after="0" w:afterAutospacing="0" w:line="600" w:lineRule="exact"/>
        <w:ind w:firstLine="645"/>
        <w:rPr>
          <w:rFonts w:hint="eastAsia" w:ascii="仿宋" w:hAnsi="仿宋" w:eastAsia="仿宋" w:cs="宋体"/>
          <w:kern w:val="0"/>
          <w:sz w:val="32"/>
          <w:szCs w:val="32"/>
          <w:lang w:val="zh-CN"/>
        </w:rPr>
      </w:pPr>
      <w:r>
        <w:rPr>
          <w:rFonts w:ascii="仿宋" w:hAnsi="仿宋" w:eastAsia="仿宋" w:cs="仿宋"/>
          <w:color w:val="000000"/>
          <w:sz w:val="28"/>
          <w:szCs w:val="28"/>
        </w:rPr>
        <w:t>按照国务院深化政府采购制度改革的工作要求，我</w:t>
      </w:r>
      <w:r>
        <w:rPr>
          <w:rFonts w:hint="eastAsia" w:ascii="仿宋" w:hAnsi="仿宋" w:eastAsia="仿宋" w:cs="仿宋"/>
          <w:color w:val="000000"/>
          <w:sz w:val="28"/>
          <w:szCs w:val="28"/>
        </w:rPr>
        <w:t>县</w:t>
      </w:r>
      <w:r>
        <w:rPr>
          <w:rFonts w:ascii="仿宋" w:hAnsi="仿宋" w:eastAsia="仿宋" w:cs="仿宋"/>
          <w:color w:val="000000"/>
          <w:sz w:val="28"/>
          <w:szCs w:val="28"/>
        </w:rPr>
        <w:t>于2019年已启动政府采购信息系统升级改版工作，</w:t>
      </w:r>
      <w:r>
        <w:rPr>
          <w:rFonts w:hint="eastAsia" w:ascii="仿宋" w:hAnsi="仿宋" w:eastAsia="仿宋" w:cs="仿宋"/>
          <w:color w:val="000000"/>
          <w:sz w:val="28"/>
          <w:szCs w:val="28"/>
        </w:rPr>
        <w:t>依托政采云平台</w:t>
      </w:r>
      <w:r>
        <w:rPr>
          <w:rFonts w:ascii="仿宋" w:hAnsi="仿宋" w:eastAsia="仿宋" w:cs="仿宋"/>
          <w:color w:val="000000"/>
          <w:sz w:val="28"/>
          <w:szCs w:val="28"/>
        </w:rPr>
        <w:t>着力构建集政府采购交易、监管、信息评价为一体的政府采购“一张网”，实现政府采购全流程监管，优化采购流程，提高采购效率，推进政府采购“一张网”建设。</w:t>
      </w:r>
    </w:p>
    <w:p>
      <w:pPr>
        <w:pStyle w:val="4"/>
        <w:spacing w:line="360" w:lineRule="auto"/>
        <w:rPr>
          <w:rStyle w:val="16"/>
          <w:rFonts w:ascii="仿宋" w:hAnsi="仿宋" w:eastAsia="仿宋"/>
          <w:b/>
          <w:bCs/>
          <w:sz w:val="28"/>
          <w:szCs w:val="28"/>
        </w:rPr>
      </w:pPr>
      <w:r>
        <w:rPr>
          <w:rStyle w:val="16"/>
          <w:rFonts w:hint="eastAsia" w:ascii="仿宋" w:hAnsi="仿宋" w:eastAsia="仿宋"/>
          <w:b/>
          <w:bCs/>
          <w:sz w:val="28"/>
          <w:szCs w:val="28"/>
        </w:rPr>
        <w:t>（二）部门单位整体支出规模、</w:t>
      </w:r>
      <w:bookmarkStart w:id="7" w:name="_Hlk70339807"/>
      <w:r>
        <w:rPr>
          <w:rStyle w:val="16"/>
          <w:rFonts w:hint="eastAsia" w:ascii="仿宋" w:hAnsi="仿宋" w:eastAsia="仿宋"/>
          <w:b/>
          <w:bCs/>
          <w:sz w:val="28"/>
          <w:szCs w:val="28"/>
        </w:rPr>
        <w:t>使用方法和主要内容、涉及对象及范围等</w:t>
      </w:r>
      <w:bookmarkEnd w:id="6"/>
    </w:p>
    <w:bookmarkEnd w:id="7"/>
    <w:p>
      <w:pPr>
        <w:pStyle w:val="5"/>
        <w:spacing w:line="360" w:lineRule="auto"/>
        <w:ind w:firstLine="562" w:firstLineChars="200"/>
        <w:rPr>
          <w:rStyle w:val="16"/>
          <w:rFonts w:hint="eastAsia" w:ascii="仿宋" w:hAnsi="仿宋" w:eastAsia="仿宋"/>
          <w:b/>
          <w:bCs/>
        </w:rPr>
      </w:pPr>
      <w:bookmarkStart w:id="8" w:name="_Toc70450295"/>
      <w:r>
        <w:rPr>
          <w:rStyle w:val="16"/>
          <w:rFonts w:hint="eastAsia" w:ascii="仿宋" w:hAnsi="仿宋" w:eastAsia="仿宋"/>
          <w:b/>
          <w:bCs/>
        </w:rPr>
        <w:t>1、部门单位整体支出规模</w:t>
      </w:r>
      <w:bookmarkEnd w:id="8"/>
    </w:p>
    <w:p>
      <w:pPr>
        <w:pStyle w:val="5"/>
        <w:spacing w:line="360" w:lineRule="auto"/>
        <w:ind w:firstLine="544" w:firstLineChars="200"/>
        <w:rPr>
          <w:rStyle w:val="16"/>
          <w:rFonts w:ascii="仿宋_GB2312" w:hAnsi="楷体" w:eastAsia="仿宋_GB2312"/>
          <w:b w:val="0"/>
          <w:bCs/>
          <w:spacing w:val="-4"/>
          <w:sz w:val="28"/>
          <w:szCs w:val="28"/>
          <w:highlight w:val="none"/>
        </w:rPr>
      </w:pPr>
      <w:r>
        <w:rPr>
          <w:rStyle w:val="16"/>
          <w:rFonts w:hint="eastAsia" w:ascii="仿宋_GB2312" w:hAnsi="楷体" w:eastAsia="仿宋_GB2312"/>
          <w:b w:val="0"/>
          <w:bCs/>
          <w:spacing w:val="-4"/>
          <w:sz w:val="28"/>
          <w:szCs w:val="28"/>
        </w:rPr>
        <w:t>2021年批复我</w:t>
      </w:r>
      <w:r>
        <w:rPr>
          <w:rStyle w:val="16"/>
          <w:rFonts w:hint="eastAsia" w:ascii="仿宋_GB2312" w:hAnsi="楷体" w:eastAsia="仿宋_GB2312"/>
          <w:b w:val="0"/>
          <w:bCs/>
          <w:spacing w:val="-4"/>
          <w:sz w:val="28"/>
          <w:szCs w:val="28"/>
          <w:lang w:eastAsia="zh-CN"/>
        </w:rPr>
        <w:t>单位</w:t>
      </w:r>
      <w:r>
        <w:rPr>
          <w:rStyle w:val="16"/>
          <w:rFonts w:hint="eastAsia" w:ascii="仿宋_GB2312" w:hAnsi="楷体" w:eastAsia="仿宋_GB2312"/>
          <w:b w:val="0"/>
          <w:bCs/>
          <w:spacing w:val="-4"/>
          <w:sz w:val="28"/>
          <w:szCs w:val="28"/>
        </w:rPr>
        <w:t>预算为</w:t>
      </w:r>
      <w:r>
        <w:rPr>
          <w:rStyle w:val="16"/>
          <w:rFonts w:hint="eastAsia" w:ascii="仿宋_GB2312" w:hAnsi="楷体" w:eastAsia="仿宋_GB2312"/>
          <w:b w:val="0"/>
          <w:bCs/>
          <w:spacing w:val="-4"/>
          <w:sz w:val="28"/>
          <w:szCs w:val="28"/>
          <w:lang w:val="en-US" w:eastAsia="zh-CN"/>
        </w:rPr>
        <w:t>36.64</w:t>
      </w:r>
      <w:r>
        <w:rPr>
          <w:rStyle w:val="16"/>
          <w:rFonts w:hint="eastAsia" w:ascii="仿宋_GB2312" w:hAnsi="楷体" w:eastAsia="仿宋_GB2312"/>
          <w:b w:val="0"/>
          <w:bCs/>
          <w:spacing w:val="-4"/>
          <w:sz w:val="28"/>
          <w:szCs w:val="28"/>
        </w:rPr>
        <w:t>万元，其中：财政拨款为</w:t>
      </w:r>
      <w:r>
        <w:rPr>
          <w:rStyle w:val="16"/>
          <w:rFonts w:hint="eastAsia" w:ascii="仿宋_GB2312" w:hAnsi="楷体" w:eastAsia="仿宋_GB2312"/>
          <w:b w:val="0"/>
          <w:bCs/>
          <w:spacing w:val="-4"/>
          <w:sz w:val="28"/>
          <w:szCs w:val="28"/>
          <w:lang w:val="en-US" w:eastAsia="zh-CN"/>
        </w:rPr>
        <w:t>36.64</w:t>
      </w:r>
      <w:r>
        <w:rPr>
          <w:rStyle w:val="16"/>
          <w:rFonts w:hint="eastAsia" w:ascii="仿宋_GB2312" w:hAnsi="楷体" w:eastAsia="仿宋_GB2312"/>
          <w:b w:val="0"/>
          <w:bCs/>
          <w:spacing w:val="-4"/>
          <w:sz w:val="28"/>
          <w:szCs w:val="28"/>
        </w:rPr>
        <w:t>万元</w:t>
      </w:r>
      <w:r>
        <w:rPr>
          <w:rStyle w:val="16"/>
          <w:rFonts w:hint="eastAsia" w:ascii="仿宋_GB2312" w:hAnsi="楷体" w:eastAsia="仿宋_GB2312"/>
          <w:b w:val="0"/>
          <w:bCs/>
          <w:spacing w:val="-4"/>
          <w:sz w:val="28"/>
          <w:szCs w:val="28"/>
          <w:lang w:eastAsia="zh-CN"/>
        </w:rPr>
        <w:t>。</w:t>
      </w:r>
      <w:r>
        <w:rPr>
          <w:rStyle w:val="16"/>
          <w:rFonts w:hint="eastAsia" w:ascii="仿宋_GB2312" w:hAnsi="楷体" w:eastAsia="仿宋_GB2312"/>
          <w:b w:val="0"/>
          <w:bCs/>
          <w:spacing w:val="-4"/>
          <w:sz w:val="28"/>
          <w:szCs w:val="28"/>
        </w:rPr>
        <w:t>年中追加</w:t>
      </w:r>
      <w:r>
        <w:rPr>
          <w:rStyle w:val="16"/>
          <w:rFonts w:hint="eastAsia" w:ascii="仿宋_GB2312" w:hAnsi="楷体" w:eastAsia="仿宋_GB2312"/>
          <w:b w:val="0"/>
          <w:bCs/>
          <w:spacing w:val="-4"/>
          <w:sz w:val="28"/>
          <w:szCs w:val="28"/>
          <w:lang w:val="en-US" w:eastAsia="zh-CN"/>
        </w:rPr>
        <w:t>2.94</w:t>
      </w:r>
      <w:r>
        <w:rPr>
          <w:rStyle w:val="16"/>
          <w:rFonts w:hint="eastAsia" w:ascii="仿宋_GB2312" w:hAnsi="楷体" w:eastAsia="仿宋_GB2312"/>
          <w:b w:val="0"/>
          <w:bCs/>
          <w:spacing w:val="-4"/>
          <w:sz w:val="28"/>
          <w:szCs w:val="28"/>
        </w:rPr>
        <w:t>万元，调整率</w:t>
      </w:r>
      <w:r>
        <w:rPr>
          <w:rStyle w:val="16"/>
          <w:rFonts w:hint="eastAsia" w:ascii="仿宋_GB2312" w:hAnsi="楷体" w:eastAsia="仿宋_GB2312"/>
          <w:b w:val="0"/>
          <w:bCs/>
          <w:spacing w:val="-4"/>
          <w:sz w:val="28"/>
          <w:szCs w:val="28"/>
          <w:lang w:val="en-US" w:eastAsia="zh-CN"/>
        </w:rPr>
        <w:t>8.72</w:t>
      </w:r>
      <w:r>
        <w:rPr>
          <w:rStyle w:val="16"/>
          <w:rFonts w:hint="eastAsia" w:ascii="仿宋_GB2312" w:hAnsi="楷体" w:eastAsia="仿宋_GB2312"/>
          <w:b w:val="0"/>
          <w:bCs/>
          <w:spacing w:val="-4"/>
          <w:sz w:val="28"/>
          <w:szCs w:val="28"/>
        </w:rPr>
        <w:t>%。</w:t>
      </w:r>
      <w:r>
        <w:rPr>
          <w:rStyle w:val="16"/>
          <w:rFonts w:hint="eastAsia" w:ascii="仿宋_GB2312" w:hAnsi="楷体" w:eastAsia="仿宋_GB2312"/>
          <w:b w:val="0"/>
          <w:bCs/>
          <w:spacing w:val="-4"/>
          <w:sz w:val="28"/>
          <w:szCs w:val="28"/>
          <w:highlight w:val="none"/>
        </w:rPr>
        <w:t>对比上年</w:t>
      </w:r>
      <w:r>
        <w:rPr>
          <w:rStyle w:val="16"/>
          <w:rFonts w:hint="eastAsia" w:ascii="仿宋_GB2312" w:hAnsi="楷体" w:eastAsia="仿宋_GB2312"/>
          <w:b w:val="0"/>
          <w:bCs/>
          <w:spacing w:val="-4"/>
          <w:sz w:val="28"/>
          <w:szCs w:val="28"/>
          <w:highlight w:val="none"/>
          <w:lang w:val="en-US" w:eastAsia="zh-CN"/>
        </w:rPr>
        <w:t>38.93</w:t>
      </w:r>
      <w:r>
        <w:rPr>
          <w:rStyle w:val="16"/>
          <w:rFonts w:hint="eastAsia" w:ascii="仿宋_GB2312" w:hAnsi="楷体" w:eastAsia="仿宋_GB2312"/>
          <w:b w:val="0"/>
          <w:bCs/>
          <w:spacing w:val="-4"/>
          <w:sz w:val="28"/>
          <w:szCs w:val="28"/>
          <w:highlight w:val="none"/>
        </w:rPr>
        <w:t>万元减少</w:t>
      </w:r>
      <w:r>
        <w:rPr>
          <w:rStyle w:val="16"/>
          <w:rFonts w:hint="eastAsia" w:ascii="仿宋_GB2312" w:hAnsi="楷体" w:eastAsia="仿宋_GB2312"/>
          <w:b w:val="0"/>
          <w:bCs/>
          <w:spacing w:val="-4"/>
          <w:sz w:val="28"/>
          <w:szCs w:val="28"/>
          <w:highlight w:val="none"/>
          <w:lang w:val="en-US" w:eastAsia="zh-CN"/>
        </w:rPr>
        <w:t>2.29</w:t>
      </w:r>
      <w:r>
        <w:rPr>
          <w:rStyle w:val="16"/>
          <w:rFonts w:hint="eastAsia" w:ascii="仿宋_GB2312" w:hAnsi="楷体" w:eastAsia="仿宋_GB2312"/>
          <w:b w:val="0"/>
          <w:bCs/>
          <w:spacing w:val="-4"/>
          <w:sz w:val="28"/>
          <w:szCs w:val="28"/>
          <w:highlight w:val="none"/>
        </w:rPr>
        <w:t>万元，下降</w:t>
      </w:r>
      <w:r>
        <w:rPr>
          <w:rStyle w:val="16"/>
          <w:rFonts w:hint="eastAsia" w:ascii="仿宋_GB2312" w:hAnsi="楷体" w:eastAsia="仿宋_GB2312"/>
          <w:b w:val="0"/>
          <w:bCs/>
          <w:spacing w:val="-4"/>
          <w:sz w:val="28"/>
          <w:szCs w:val="28"/>
          <w:highlight w:val="none"/>
          <w:lang w:val="en-US" w:eastAsia="zh-CN"/>
        </w:rPr>
        <w:t>5.88</w:t>
      </w:r>
      <w:r>
        <w:rPr>
          <w:rStyle w:val="16"/>
          <w:rFonts w:hint="eastAsia" w:ascii="仿宋_GB2312" w:hAnsi="楷体" w:eastAsia="仿宋_GB2312"/>
          <w:b w:val="0"/>
          <w:bCs/>
          <w:spacing w:val="-4"/>
          <w:sz w:val="28"/>
          <w:szCs w:val="28"/>
          <w:highlight w:val="none"/>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2021年实际决算支出</w:t>
      </w:r>
      <w:r>
        <w:rPr>
          <w:rStyle w:val="16"/>
          <w:rFonts w:hint="eastAsia" w:ascii="仿宋_GB2312" w:hAnsi="楷体" w:eastAsia="仿宋_GB2312"/>
          <w:b w:val="0"/>
          <w:spacing w:val="-4"/>
          <w:sz w:val="28"/>
          <w:szCs w:val="28"/>
          <w:lang w:val="en-US" w:eastAsia="zh-CN"/>
        </w:rPr>
        <w:t>36.64</w:t>
      </w:r>
      <w:r>
        <w:rPr>
          <w:rStyle w:val="16"/>
          <w:rFonts w:hint="eastAsia" w:ascii="仿宋_GB2312" w:hAnsi="楷体" w:eastAsia="仿宋_GB2312"/>
          <w:b w:val="0"/>
          <w:spacing w:val="-4"/>
          <w:sz w:val="28"/>
          <w:szCs w:val="28"/>
        </w:rPr>
        <w:t>万元，执行率</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%，其中：</w:t>
      </w:r>
    </w:p>
    <w:p>
      <w:pPr>
        <w:numPr>
          <w:ilvl w:val="0"/>
          <w:numId w:val="2"/>
        </w:numPr>
        <w:spacing w:line="360" w:lineRule="auto"/>
        <w:ind w:firstLine="544" w:firstLineChars="200"/>
        <w:rPr>
          <w:rStyle w:val="16"/>
          <w:rFonts w:hint="eastAsia" w:ascii="仿宋_GB2312" w:hAnsi="楷体" w:eastAsia="仿宋_GB2312"/>
          <w:b w:val="0"/>
          <w:spacing w:val="-4"/>
          <w:sz w:val="28"/>
          <w:szCs w:val="28"/>
          <w:lang w:eastAsia="zh-CN"/>
        </w:rPr>
      </w:pPr>
      <w:r>
        <w:rPr>
          <w:rStyle w:val="16"/>
          <w:rFonts w:hint="eastAsia" w:ascii="仿宋_GB2312" w:hAnsi="楷体" w:eastAsia="仿宋_GB2312"/>
          <w:b w:val="0"/>
          <w:spacing w:val="-4"/>
          <w:sz w:val="28"/>
          <w:szCs w:val="28"/>
        </w:rPr>
        <w:t>基本支出</w:t>
      </w:r>
      <w:r>
        <w:rPr>
          <w:rStyle w:val="16"/>
          <w:rFonts w:hint="eastAsia" w:ascii="仿宋_GB2312" w:hAnsi="楷体" w:eastAsia="仿宋_GB2312"/>
          <w:b w:val="0"/>
          <w:spacing w:val="-4"/>
          <w:sz w:val="28"/>
          <w:szCs w:val="28"/>
          <w:lang w:val="en-US" w:eastAsia="zh-CN"/>
        </w:rPr>
        <w:t>36.64</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％，主要用于本</w:t>
      </w:r>
      <w:r>
        <w:rPr>
          <w:rStyle w:val="16"/>
          <w:rFonts w:hint="eastAsia" w:ascii="仿宋_GB2312" w:hAnsi="楷体" w:eastAsia="仿宋_GB2312"/>
          <w:b w:val="0"/>
          <w:color w:val="auto"/>
          <w:spacing w:val="-4"/>
          <w:sz w:val="28"/>
          <w:szCs w:val="28"/>
        </w:rPr>
        <w:t>单位</w:t>
      </w:r>
      <w:r>
        <w:rPr>
          <w:rStyle w:val="16"/>
          <w:rFonts w:hint="eastAsia" w:ascii="仿宋_GB2312" w:hAnsi="楷体" w:eastAsia="仿宋_GB2312"/>
          <w:b w:val="0"/>
          <w:spacing w:val="-4"/>
          <w:sz w:val="28"/>
          <w:szCs w:val="28"/>
        </w:rPr>
        <w:t>机构正常运转、完成日常工作任务而发生的各项支出。其中：工资福利支出</w:t>
      </w:r>
      <w:r>
        <w:rPr>
          <w:rStyle w:val="16"/>
          <w:rFonts w:hint="eastAsia" w:ascii="仿宋_GB2312" w:hAnsi="楷体" w:eastAsia="仿宋_GB2312"/>
          <w:b w:val="0"/>
          <w:spacing w:val="-4"/>
          <w:sz w:val="28"/>
          <w:szCs w:val="28"/>
          <w:lang w:val="en-US" w:eastAsia="zh-CN"/>
        </w:rPr>
        <w:t>34.76</w:t>
      </w:r>
      <w:r>
        <w:rPr>
          <w:rStyle w:val="16"/>
          <w:rFonts w:hint="eastAsia" w:ascii="仿宋_GB2312" w:hAnsi="楷体" w:eastAsia="仿宋_GB2312"/>
          <w:b w:val="0"/>
          <w:spacing w:val="-4"/>
          <w:sz w:val="28"/>
          <w:szCs w:val="28"/>
        </w:rPr>
        <w:t>万元，主要用于在职和离退休人员基本工资、津贴补贴等人员经费。商品和服务支出</w:t>
      </w:r>
      <w:r>
        <w:rPr>
          <w:rStyle w:val="16"/>
          <w:rFonts w:hint="eastAsia" w:ascii="仿宋_GB2312" w:hAnsi="楷体" w:eastAsia="仿宋_GB2312"/>
          <w:b w:val="0"/>
          <w:spacing w:val="-4"/>
          <w:sz w:val="28"/>
          <w:szCs w:val="28"/>
          <w:lang w:val="en-US" w:eastAsia="zh-CN"/>
        </w:rPr>
        <w:t>1.88</w:t>
      </w:r>
      <w:r>
        <w:rPr>
          <w:rStyle w:val="16"/>
          <w:rFonts w:hint="eastAsia" w:ascii="仿宋_GB2312" w:hAnsi="楷体" w:eastAsia="仿宋_GB2312"/>
          <w:b w:val="0"/>
          <w:spacing w:val="-4"/>
          <w:sz w:val="28"/>
          <w:szCs w:val="28"/>
        </w:rPr>
        <w:t>万元，主要用于办公费、印刷费、水电费、办公设备购置等。对个人和家庭的补助</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万元，主要用于</w:t>
      </w:r>
      <w:r>
        <w:rPr>
          <w:rStyle w:val="16"/>
          <w:rFonts w:hint="eastAsia" w:ascii="仿宋_GB2312" w:hAnsi="楷体" w:eastAsia="仿宋_GB2312"/>
          <w:b w:val="0"/>
          <w:spacing w:val="-4"/>
          <w:sz w:val="28"/>
          <w:szCs w:val="28"/>
          <w:lang w:eastAsia="zh-CN"/>
        </w:rPr>
        <w:t>未安排</w:t>
      </w:r>
      <w:r>
        <w:rPr>
          <w:rStyle w:val="16"/>
          <w:rFonts w:hint="eastAsia" w:ascii="仿宋_GB2312" w:hAnsi="楷体" w:eastAsia="仿宋_GB2312"/>
          <w:b w:val="0"/>
          <w:spacing w:val="-4"/>
          <w:sz w:val="28"/>
          <w:szCs w:val="28"/>
        </w:rPr>
        <w:t>。资本性支出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eastAsia="zh-CN"/>
        </w:rPr>
        <w:t>。</w:t>
      </w:r>
    </w:p>
    <w:p>
      <w:pPr>
        <w:numPr>
          <w:ilvl w:val="0"/>
          <w:numId w:val="2"/>
        </w:numPr>
        <w:spacing w:line="360" w:lineRule="auto"/>
        <w:ind w:firstLine="544" w:firstLineChars="200"/>
        <w:rPr>
          <w:rStyle w:val="16"/>
          <w:rFonts w:hint="eastAsia" w:ascii="仿宋_GB2312" w:hAnsi="楷体" w:eastAsia="仿宋_GB2312"/>
          <w:b w:val="0"/>
          <w:spacing w:val="-4"/>
          <w:sz w:val="28"/>
          <w:szCs w:val="28"/>
          <w:highlight w:val="none"/>
          <w:lang w:eastAsia="zh-CN"/>
        </w:rPr>
      </w:pPr>
      <w:r>
        <w:rPr>
          <w:rStyle w:val="16"/>
          <w:rFonts w:hint="eastAsia" w:ascii="仿宋_GB2312" w:hAnsi="楷体" w:eastAsia="仿宋_GB2312"/>
          <w:b w:val="0"/>
          <w:spacing w:val="-4"/>
          <w:sz w:val="28"/>
          <w:szCs w:val="28"/>
          <w:highlight w:val="none"/>
        </w:rPr>
        <w:t>项目支出</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万元，占总支出的</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w:t>
      </w:r>
    </w:p>
    <w:p>
      <w:pPr>
        <w:numPr>
          <w:ilvl w:val="0"/>
          <w:numId w:val="2"/>
        </w:numPr>
        <w:spacing w:line="360" w:lineRule="auto"/>
        <w:ind w:firstLine="544" w:firstLineChars="200"/>
        <w:rPr>
          <w:rStyle w:val="16"/>
          <w:rFonts w:hint="eastAsia" w:ascii="仿宋_GB2312" w:hAnsi="楷体" w:eastAsia="仿宋_GB2312"/>
          <w:b w:val="0"/>
          <w:spacing w:val="-4"/>
          <w:sz w:val="28"/>
          <w:szCs w:val="28"/>
          <w:highlight w:val="none"/>
          <w:lang w:eastAsia="zh-CN"/>
        </w:rPr>
      </w:pPr>
      <w:r>
        <w:rPr>
          <w:rStyle w:val="16"/>
          <w:rFonts w:hint="eastAsia" w:ascii="仿宋_GB2312" w:hAnsi="楷体" w:eastAsia="仿宋_GB2312"/>
          <w:b w:val="0"/>
          <w:spacing w:val="-4"/>
          <w:sz w:val="28"/>
          <w:szCs w:val="28"/>
          <w:highlight w:val="none"/>
        </w:rPr>
        <w:t>本年度重点项目支出</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万元，重点支出保障率</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w:t>
      </w:r>
    </w:p>
    <w:p>
      <w:pPr>
        <w:pStyle w:val="5"/>
        <w:numPr>
          <w:ilvl w:val="0"/>
          <w:numId w:val="2"/>
        </w:numPr>
        <w:spacing w:line="360" w:lineRule="auto"/>
        <w:ind w:left="0" w:leftChars="0" w:firstLine="544" w:firstLineChars="200"/>
        <w:rPr>
          <w:rStyle w:val="16"/>
          <w:rFonts w:hint="eastAsia" w:ascii="仿宋_GB2312" w:hAnsi="楷体" w:eastAsia="仿宋_GB2312"/>
          <w:b w:val="0"/>
          <w:bCs w:val="0"/>
          <w:color w:val="auto"/>
          <w:spacing w:val="-4"/>
          <w:sz w:val="28"/>
          <w:szCs w:val="28"/>
          <w:lang w:eastAsia="zh-CN"/>
        </w:rPr>
      </w:pPr>
      <w:bookmarkStart w:id="9" w:name="_Toc70450296"/>
      <w:r>
        <w:rPr>
          <w:rStyle w:val="16"/>
          <w:rFonts w:hint="eastAsia" w:ascii="仿宋_GB2312" w:hAnsi="楷体" w:eastAsia="仿宋_GB2312"/>
          <w:b w:val="0"/>
          <w:bCs/>
          <w:color w:val="auto"/>
          <w:spacing w:val="-4"/>
          <w:sz w:val="28"/>
          <w:szCs w:val="28"/>
        </w:rPr>
        <w:t>本年度我单位</w:t>
      </w:r>
      <w:r>
        <w:rPr>
          <w:rStyle w:val="16"/>
          <w:rFonts w:hint="eastAsia" w:ascii="仿宋_GB2312" w:hAnsi="楷体" w:eastAsia="仿宋_GB2312"/>
          <w:b w:val="0"/>
          <w:bCs w:val="0"/>
          <w:color w:val="auto"/>
          <w:spacing w:val="-4"/>
          <w:sz w:val="28"/>
          <w:szCs w:val="28"/>
        </w:rPr>
        <w:t>无政府采购预算</w:t>
      </w:r>
      <w:r>
        <w:rPr>
          <w:rStyle w:val="16"/>
          <w:rFonts w:hint="eastAsia" w:ascii="仿宋_GB2312" w:hAnsi="楷体" w:eastAsia="仿宋_GB2312"/>
          <w:b w:val="0"/>
          <w:bCs w:val="0"/>
          <w:color w:val="auto"/>
          <w:spacing w:val="-4"/>
          <w:sz w:val="28"/>
          <w:szCs w:val="28"/>
          <w:lang w:eastAsia="zh-CN"/>
        </w:rPr>
        <w:t>。</w:t>
      </w:r>
    </w:p>
    <w:p>
      <w:pPr>
        <w:pStyle w:val="5"/>
        <w:numPr>
          <w:ilvl w:val="0"/>
          <w:numId w:val="0"/>
        </w:numPr>
        <w:spacing w:line="360" w:lineRule="auto"/>
        <w:ind w:leftChars="200"/>
        <w:rPr>
          <w:rStyle w:val="16"/>
          <w:rFonts w:ascii="仿宋" w:hAnsi="仿宋" w:eastAsia="仿宋"/>
          <w:b/>
          <w:bCs/>
        </w:rPr>
      </w:pPr>
      <w:r>
        <w:rPr>
          <w:rStyle w:val="16"/>
          <w:rFonts w:ascii="仿宋" w:hAnsi="仿宋" w:eastAsia="仿宋"/>
          <w:b/>
          <w:bCs/>
        </w:rPr>
        <w:t>2</w:t>
      </w:r>
      <w:r>
        <w:rPr>
          <w:rStyle w:val="16"/>
          <w:rFonts w:hint="eastAsia" w:ascii="仿宋" w:hAnsi="仿宋" w:eastAsia="仿宋"/>
          <w:b/>
          <w:bCs/>
        </w:rPr>
        <w:t>、整体支出评价使用方法和主要内容、涉及对象及范围等</w:t>
      </w:r>
      <w:bookmarkEnd w:id="9"/>
    </w:p>
    <w:p>
      <w:pPr>
        <w:spacing w:line="360" w:lineRule="auto"/>
        <w:ind w:firstLine="560" w:firstLineChars="200"/>
        <w:rPr>
          <w:rStyle w:val="16"/>
          <w:rFonts w:ascii="仿宋_GB2312" w:eastAsia="仿宋_GB2312"/>
          <w:b w:val="0"/>
          <w:bCs w:val="0"/>
          <w:sz w:val="28"/>
          <w:szCs w:val="36"/>
        </w:rPr>
      </w:pPr>
      <w:bookmarkStart w:id="10" w:name="_Toc70450297"/>
      <w:r>
        <w:rPr>
          <w:rFonts w:hint="eastAsia" w:ascii="仿宋_GB2312" w:eastAsia="仿宋_GB2312"/>
          <w:sz w:val="28"/>
          <w:szCs w:val="36"/>
        </w:rPr>
        <w:t>（1）</w:t>
      </w:r>
      <w:r>
        <w:rPr>
          <w:rStyle w:val="16"/>
          <w:rFonts w:hint="eastAsia" w:ascii="仿宋_GB2312" w:eastAsia="仿宋_GB2312"/>
          <w:b w:val="0"/>
          <w:bCs w:val="0"/>
          <w:sz w:val="28"/>
          <w:szCs w:val="36"/>
        </w:rPr>
        <w:t>整体支出评价使用方法</w:t>
      </w:r>
    </w:p>
    <w:p>
      <w:pPr>
        <w:spacing w:line="360" w:lineRule="auto"/>
        <w:ind w:firstLine="544" w:firstLineChars="200"/>
        <w:rPr>
          <w:rStyle w:val="16"/>
          <w:rFonts w:hint="eastAsia" w:ascii="仿宋_GB2312" w:hAnsi="楷体" w:eastAsia="仿宋_GB2312"/>
          <w:b w:val="0"/>
          <w:spacing w:val="-4"/>
          <w:sz w:val="28"/>
          <w:szCs w:val="28"/>
          <w:highlight w:val="none"/>
          <w:lang w:val="en-US" w:eastAsia="zh-CN"/>
        </w:rPr>
      </w:pPr>
      <w:r>
        <w:rPr>
          <w:rStyle w:val="16"/>
          <w:rFonts w:hint="eastAsia" w:ascii="仿宋_GB2312" w:hAnsi="楷体" w:eastAsia="仿宋_GB2312"/>
          <w:b w:val="0"/>
          <w:spacing w:val="-4"/>
          <w:sz w:val="28"/>
          <w:szCs w:val="28"/>
          <w:highlight w:val="none"/>
          <w:lang w:val="en-US" w:eastAsia="zh-CN"/>
        </w:rPr>
        <w:t>本次单位整体支出绩效自评采用比较法方法，原因是：在使用前撰写部门整体支出绩效目标申报表，我使用中严格按照绩效目标方案，使用后，对单门整体支出绩效目标进行分析，确保整体目标按照方案热行，同时会对绩效目标进行上年对比分析，找出增加（减少）的原因，从而综合分析绩效目标实现程度。</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（2）整体支出评价主要内容</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1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①</w:t>
      </w:r>
      <w:r>
        <w:rPr>
          <w:rFonts w:ascii="仿宋_GB2312" w:eastAsia="仿宋_GB2312"/>
          <w:sz w:val="28"/>
          <w:szCs w:val="36"/>
        </w:rPr>
        <w:fldChar w:fldCharType="end"/>
      </w:r>
      <w:r>
        <w:rPr>
          <w:rFonts w:hint="eastAsia" w:ascii="仿宋_GB2312" w:eastAsia="仿宋_GB2312"/>
          <w:sz w:val="28"/>
          <w:szCs w:val="36"/>
        </w:rPr>
        <w:t>绩效目标的设定情况。重点评价绩效目标设立的充分性、明确性、合理性以及细化程度。</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2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②</w:t>
      </w:r>
      <w:r>
        <w:rPr>
          <w:rFonts w:ascii="仿宋_GB2312" w:eastAsia="仿宋_GB2312"/>
          <w:sz w:val="28"/>
          <w:szCs w:val="36"/>
        </w:rPr>
        <w:fldChar w:fldCharType="end"/>
      </w:r>
      <w:r>
        <w:rPr>
          <w:rFonts w:hint="eastAsia" w:ascii="仿宋_GB2312" w:eastAsia="仿宋_GB2312"/>
          <w:sz w:val="28"/>
          <w:szCs w:val="36"/>
        </w:rPr>
        <w:t>资金投入和使用情况。重点评价资金分配过程、投入方式、资金到位、预算执行和结果。</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3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③</w:t>
      </w:r>
      <w:r>
        <w:rPr>
          <w:rFonts w:ascii="仿宋_GB2312" w:eastAsia="仿宋_GB2312"/>
          <w:sz w:val="28"/>
          <w:szCs w:val="36"/>
        </w:rPr>
        <w:fldChar w:fldCharType="end"/>
      </w:r>
      <w:r>
        <w:rPr>
          <w:rFonts w:hint="eastAsia" w:ascii="仿宋_GB2312" w:eastAsia="仿宋_GB2312"/>
          <w:sz w:val="28"/>
          <w:szCs w:val="36"/>
        </w:rPr>
        <w:t>为实现绩效目标制定的制度、采取的措施等。包括项目管理制度、财务管理制度、资产管理制度和绩效跟踪管理措施等。</w:t>
      </w:r>
    </w:p>
    <w:p>
      <w:pPr>
        <w:spacing w:line="360" w:lineRule="auto"/>
        <w:ind w:firstLine="560" w:firstLineChars="200"/>
        <w:rPr>
          <w:rStyle w:val="16"/>
          <w:rFonts w:ascii="仿宋_GB2312" w:eastAsia="仿宋_GB2312"/>
          <w:b w:val="0"/>
          <w:bCs w:val="0"/>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4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④</w:t>
      </w:r>
      <w:r>
        <w:rPr>
          <w:rFonts w:ascii="仿宋_GB2312" w:eastAsia="仿宋_GB2312"/>
          <w:sz w:val="28"/>
          <w:szCs w:val="36"/>
        </w:rPr>
        <w:fldChar w:fldCharType="end"/>
      </w:r>
      <w:r>
        <w:rPr>
          <w:rFonts w:hint="eastAsia" w:ascii="仿宋_GB2312" w:eastAsia="仿宋_GB2312"/>
          <w:sz w:val="28"/>
          <w:szCs w:val="36"/>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（3）整体支出评价涉及对象及范围</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涉及对象：</w:t>
      </w:r>
      <w:r>
        <w:rPr>
          <w:rFonts w:hint="eastAsia" w:ascii="仿宋_GB2312" w:eastAsia="仿宋_GB2312"/>
          <w:sz w:val="28"/>
          <w:szCs w:val="36"/>
        </w:rPr>
        <w:t>本次评价对象是</w:t>
      </w:r>
      <w:r>
        <w:rPr>
          <w:rFonts w:hint="eastAsia" w:ascii="仿宋_GB2312" w:eastAsia="仿宋_GB2312"/>
          <w:sz w:val="28"/>
          <w:szCs w:val="36"/>
          <w:lang w:val="en-US" w:eastAsia="zh-CN"/>
        </w:rPr>
        <w:t>特克斯县政府采购中心</w:t>
      </w:r>
      <w:r>
        <w:rPr>
          <w:rFonts w:hint="eastAsia" w:ascii="仿宋_GB2312" w:eastAsia="仿宋_GB2312"/>
          <w:sz w:val="28"/>
          <w:szCs w:val="36"/>
        </w:rPr>
        <w:t>所有财政资金支出活动。</w:t>
      </w:r>
    </w:p>
    <w:p>
      <w:pPr>
        <w:spacing w:line="360" w:lineRule="auto"/>
        <w:ind w:firstLine="560" w:firstLineChars="200"/>
        <w:rPr>
          <w:rStyle w:val="16"/>
          <w:rFonts w:ascii="仿宋_GB2312" w:eastAsia="仿宋_GB2312"/>
          <w:b w:val="0"/>
          <w:bCs w:val="0"/>
          <w:sz w:val="28"/>
          <w:szCs w:val="28"/>
        </w:rPr>
      </w:pPr>
      <w:r>
        <w:rPr>
          <w:rStyle w:val="16"/>
          <w:rFonts w:hint="eastAsia" w:ascii="仿宋_GB2312" w:eastAsia="仿宋_GB2312"/>
          <w:b w:val="0"/>
          <w:bCs w:val="0"/>
          <w:sz w:val="28"/>
          <w:szCs w:val="28"/>
        </w:rPr>
        <w:t>（3）整体支出评价涉及对象及范围</w:t>
      </w:r>
    </w:p>
    <w:p>
      <w:pPr>
        <w:spacing w:line="360" w:lineRule="auto"/>
        <w:ind w:firstLine="560" w:firstLineChars="200"/>
        <w:rPr>
          <w:rStyle w:val="16"/>
          <w:rFonts w:ascii="仿宋_GB2312" w:eastAsia="仿宋_GB2312"/>
          <w:b w:val="0"/>
          <w:bCs w:val="0"/>
          <w:sz w:val="28"/>
          <w:szCs w:val="28"/>
        </w:rPr>
      </w:pPr>
      <w:r>
        <w:rPr>
          <w:rStyle w:val="16"/>
          <w:rFonts w:hint="eastAsia" w:ascii="仿宋_GB2312" w:eastAsia="仿宋_GB2312"/>
          <w:b w:val="0"/>
          <w:bCs w:val="0"/>
          <w:sz w:val="28"/>
          <w:szCs w:val="28"/>
        </w:rPr>
        <w:t>涉及对象：</w:t>
      </w:r>
      <w:r>
        <w:rPr>
          <w:rFonts w:hint="eastAsia" w:ascii="仿宋_GB2312" w:eastAsia="仿宋_GB2312"/>
          <w:sz w:val="28"/>
          <w:szCs w:val="28"/>
        </w:rPr>
        <w:t>本次评价对象是</w:t>
      </w:r>
      <w:r>
        <w:rPr>
          <w:rFonts w:hint="eastAsia" w:ascii="仿宋_GB2312" w:eastAsia="仿宋_GB2312"/>
          <w:sz w:val="28"/>
          <w:szCs w:val="28"/>
          <w:lang w:eastAsia="zh-CN"/>
        </w:rPr>
        <w:t>特克斯县审计局</w:t>
      </w:r>
      <w:r>
        <w:rPr>
          <w:rFonts w:hint="eastAsia" w:ascii="仿宋_GB2312" w:eastAsia="仿宋_GB2312"/>
          <w:sz w:val="28"/>
          <w:szCs w:val="28"/>
        </w:rPr>
        <w:t>所有财政资金支出活动。</w:t>
      </w:r>
    </w:p>
    <w:p>
      <w:pPr>
        <w:spacing w:line="360" w:lineRule="auto"/>
        <w:ind w:firstLine="560" w:firstLineChars="200"/>
        <w:rPr>
          <w:rStyle w:val="16"/>
          <w:rFonts w:ascii="仿宋_GB2312" w:eastAsia="仿宋_GB2312"/>
          <w:b w:val="0"/>
          <w:bCs w:val="0"/>
          <w:sz w:val="28"/>
          <w:szCs w:val="28"/>
        </w:rPr>
      </w:pPr>
      <w:r>
        <w:rPr>
          <w:rStyle w:val="16"/>
          <w:rFonts w:hint="eastAsia" w:ascii="仿宋_GB2312" w:eastAsia="仿宋_GB2312"/>
          <w:b w:val="0"/>
          <w:bCs w:val="0"/>
          <w:sz w:val="28"/>
          <w:szCs w:val="28"/>
        </w:rPr>
        <w:t>整体支出评价范围：</w:t>
      </w:r>
    </w:p>
    <w:p>
      <w:pPr>
        <w:spacing w:line="360" w:lineRule="auto"/>
        <w:ind w:firstLine="544" w:firstLineChars="200"/>
        <w:rPr>
          <w:rStyle w:val="16"/>
          <w:rFonts w:hint="eastAsia" w:ascii="仿宋_GB2312" w:hAnsi="楷体" w:eastAsia="仿宋_GB2312"/>
          <w:b w:val="0"/>
          <w:spacing w:val="-4"/>
          <w:sz w:val="28"/>
          <w:szCs w:val="28"/>
          <w:lang w:eastAsia="zh-CN"/>
        </w:rPr>
      </w:pPr>
      <w:r>
        <w:rPr>
          <w:rStyle w:val="16"/>
          <w:rFonts w:ascii="仿宋_GB2312" w:hAnsi="楷体" w:eastAsia="仿宋_GB2312"/>
          <w:b w:val="0"/>
          <w:spacing w:val="-4"/>
          <w:sz w:val="28"/>
          <w:szCs w:val="28"/>
        </w:rPr>
        <w:fldChar w:fldCharType="begin"/>
      </w:r>
      <w:r>
        <w:rPr>
          <w:rStyle w:val="16"/>
          <w:rFonts w:ascii="仿宋_GB2312" w:hAnsi="楷体" w:eastAsia="仿宋_GB2312"/>
          <w:b w:val="0"/>
          <w:spacing w:val="-4"/>
          <w:sz w:val="28"/>
          <w:szCs w:val="28"/>
        </w:rPr>
        <w:instrText xml:space="preserve"> </w:instrText>
      </w:r>
      <w:r>
        <w:rPr>
          <w:rStyle w:val="16"/>
          <w:rFonts w:hint="eastAsia" w:ascii="仿宋_GB2312" w:hAnsi="楷体" w:eastAsia="仿宋_GB2312"/>
          <w:b w:val="0"/>
          <w:spacing w:val="-4"/>
          <w:sz w:val="28"/>
          <w:szCs w:val="28"/>
        </w:rPr>
        <w:instrText xml:space="preserve">= 1 \* GB3</w:instrText>
      </w:r>
      <w:r>
        <w:rPr>
          <w:rStyle w:val="16"/>
          <w:rFonts w:ascii="仿宋_GB2312" w:hAnsi="楷体" w:eastAsia="仿宋_GB2312"/>
          <w:b w:val="0"/>
          <w:spacing w:val="-4"/>
          <w:sz w:val="28"/>
          <w:szCs w:val="28"/>
        </w:rPr>
        <w:instrText xml:space="preserve"> </w:instrText>
      </w:r>
      <w:r>
        <w:rPr>
          <w:rStyle w:val="16"/>
          <w:rFonts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①</w:t>
      </w:r>
      <w:r>
        <w:rPr>
          <w:rStyle w:val="16"/>
          <w:rFonts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基本支出</w:t>
      </w:r>
      <w:r>
        <w:rPr>
          <w:rStyle w:val="16"/>
          <w:rFonts w:hint="eastAsia" w:ascii="仿宋_GB2312" w:hAnsi="楷体" w:eastAsia="仿宋_GB2312"/>
          <w:b w:val="0"/>
          <w:spacing w:val="-4"/>
          <w:sz w:val="28"/>
          <w:szCs w:val="28"/>
          <w:lang w:val="en-US" w:eastAsia="zh-CN"/>
        </w:rPr>
        <w:t>36.64</w:t>
      </w:r>
      <w:r>
        <w:rPr>
          <w:rStyle w:val="16"/>
          <w:rFonts w:hint="eastAsia" w:ascii="仿宋_GB2312" w:hAnsi="楷体" w:eastAsia="仿宋_GB2312"/>
          <w:b w:val="0"/>
          <w:spacing w:val="-4"/>
          <w:sz w:val="28"/>
          <w:szCs w:val="28"/>
        </w:rPr>
        <w:t>万元，其中：工资福利支出、商品和服务支出、对个人和家庭的补助支出</w:t>
      </w:r>
      <w:r>
        <w:rPr>
          <w:rStyle w:val="16"/>
          <w:rFonts w:hint="eastAsia" w:ascii="仿宋_GB2312" w:hAnsi="楷体" w:eastAsia="仿宋_GB2312"/>
          <w:b w:val="0"/>
          <w:spacing w:val="-4"/>
          <w:sz w:val="28"/>
          <w:szCs w:val="28"/>
          <w:lang w:eastAsia="zh-CN"/>
        </w:rPr>
        <w:t>。</w:t>
      </w:r>
    </w:p>
    <w:p>
      <w:pPr>
        <w:spacing w:line="360" w:lineRule="auto"/>
        <w:ind w:firstLine="492" w:firstLineChars="181"/>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fldChar w:fldCharType="begin"/>
      </w:r>
      <w:r>
        <w:rPr>
          <w:rStyle w:val="16"/>
          <w:rFonts w:ascii="仿宋_GB2312" w:hAnsi="楷体" w:eastAsia="仿宋_GB2312"/>
          <w:b w:val="0"/>
          <w:spacing w:val="-4"/>
          <w:sz w:val="28"/>
          <w:szCs w:val="28"/>
        </w:rPr>
        <w:instrText xml:space="preserve"> </w:instrText>
      </w:r>
      <w:r>
        <w:rPr>
          <w:rStyle w:val="16"/>
          <w:rFonts w:hint="eastAsia" w:ascii="仿宋_GB2312" w:hAnsi="楷体" w:eastAsia="仿宋_GB2312"/>
          <w:b w:val="0"/>
          <w:spacing w:val="-4"/>
          <w:sz w:val="28"/>
          <w:szCs w:val="28"/>
        </w:rPr>
        <w:instrText xml:space="preserve">= 2 \* GB3</w:instrText>
      </w:r>
      <w:r>
        <w:rPr>
          <w:rStyle w:val="16"/>
          <w:rFonts w:ascii="仿宋_GB2312" w:hAnsi="楷体" w:eastAsia="仿宋_GB2312"/>
          <w:b w:val="0"/>
          <w:spacing w:val="-4"/>
          <w:sz w:val="28"/>
          <w:szCs w:val="28"/>
        </w:rPr>
        <w:instrText xml:space="preserve"> </w:instrText>
      </w:r>
      <w:r>
        <w:rPr>
          <w:rStyle w:val="16"/>
          <w:rFonts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②</w:t>
      </w:r>
      <w:r>
        <w:rPr>
          <w:rStyle w:val="16"/>
          <w:rFonts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项目支出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万元：202</w:t>
      </w:r>
      <w:r>
        <w:rPr>
          <w:rStyle w:val="16"/>
          <w:rFonts w:hint="eastAsia" w:ascii="仿宋_GB2312" w:hAnsi="楷体" w:eastAsia="仿宋_GB2312"/>
          <w:b w:val="0"/>
          <w:spacing w:val="-4"/>
          <w:sz w:val="28"/>
          <w:szCs w:val="28"/>
          <w:lang w:val="en-US" w:eastAsia="zh-CN"/>
        </w:rPr>
        <w:t>1</w:t>
      </w:r>
      <w:r>
        <w:rPr>
          <w:rStyle w:val="16"/>
          <w:rFonts w:hint="eastAsia" w:ascii="仿宋_GB2312" w:hAnsi="楷体" w:eastAsia="仿宋_GB2312"/>
          <w:b w:val="0"/>
          <w:spacing w:val="-4"/>
          <w:sz w:val="28"/>
          <w:szCs w:val="28"/>
        </w:rPr>
        <w:t>年无项目支出</w:t>
      </w:r>
      <w:r>
        <w:rPr>
          <w:rStyle w:val="16"/>
          <w:rFonts w:hint="eastAsia" w:ascii="仿宋_GB2312" w:hAnsi="楷体" w:eastAsia="仿宋_GB2312"/>
          <w:b w:val="0"/>
          <w:spacing w:val="-4"/>
          <w:sz w:val="28"/>
          <w:szCs w:val="28"/>
          <w:lang w:eastAsia="zh-CN"/>
        </w:rPr>
        <w:t>。</w:t>
      </w:r>
    </w:p>
    <w:p>
      <w:pPr>
        <w:pStyle w:val="3"/>
        <w:spacing w:line="360" w:lineRule="auto"/>
        <w:rPr>
          <w:rFonts w:ascii="仿宋" w:hAnsi="仿宋" w:eastAsia="仿宋"/>
          <w:sz w:val="36"/>
          <w:szCs w:val="36"/>
          <w:lang w:bidi="ar"/>
        </w:rPr>
      </w:pPr>
      <w:r>
        <w:rPr>
          <w:rFonts w:hint="eastAsia" w:ascii="仿宋" w:hAnsi="仿宋" w:eastAsia="仿宋"/>
          <w:sz w:val="36"/>
          <w:szCs w:val="36"/>
          <w:lang w:bidi="ar"/>
        </w:rPr>
        <w:t>二、部门单位整体支出管理及使用情况</w:t>
      </w:r>
      <w:bookmarkEnd w:id="10"/>
    </w:p>
    <w:p>
      <w:pPr>
        <w:pStyle w:val="4"/>
        <w:spacing w:line="360" w:lineRule="auto"/>
        <w:rPr>
          <w:rStyle w:val="16"/>
          <w:rFonts w:ascii="仿宋" w:hAnsi="仿宋" w:eastAsia="仿宋"/>
          <w:b/>
          <w:bCs/>
        </w:rPr>
      </w:pPr>
      <w:bookmarkStart w:id="11" w:name="_Toc70450298"/>
      <w:r>
        <w:rPr>
          <w:rStyle w:val="16"/>
          <w:rFonts w:hint="eastAsia" w:ascii="仿宋" w:hAnsi="仿宋" w:eastAsia="仿宋"/>
          <w:b/>
          <w:bCs/>
        </w:rPr>
        <w:t>（一）预算管理</w:t>
      </w:r>
      <w:bookmarkEnd w:id="11"/>
    </w:p>
    <w:p>
      <w:pPr>
        <w:pStyle w:val="5"/>
        <w:spacing w:line="360" w:lineRule="auto"/>
        <w:ind w:firstLine="562" w:firstLineChars="200"/>
        <w:rPr>
          <w:rStyle w:val="16"/>
          <w:rFonts w:ascii="仿宋" w:hAnsi="仿宋" w:eastAsia="仿宋"/>
          <w:b/>
          <w:bCs/>
        </w:rPr>
      </w:pPr>
      <w:bookmarkStart w:id="12" w:name="_Toc70450299"/>
      <w:r>
        <w:rPr>
          <w:rStyle w:val="16"/>
          <w:rFonts w:ascii="仿宋" w:hAnsi="仿宋" w:eastAsia="仿宋"/>
          <w:b/>
          <w:bCs/>
        </w:rPr>
        <w:t>1</w:t>
      </w:r>
      <w:r>
        <w:rPr>
          <w:rStyle w:val="16"/>
          <w:rFonts w:hint="eastAsia" w:ascii="仿宋" w:hAnsi="仿宋" w:eastAsia="仿宋"/>
          <w:b/>
          <w:bCs/>
        </w:rPr>
        <w:t>、预算编制管理</w:t>
      </w:r>
      <w:bookmarkEnd w:id="12"/>
    </w:p>
    <w:p>
      <w:pPr>
        <w:spacing w:line="360" w:lineRule="auto"/>
        <w:ind w:firstLine="506" w:firstLineChars="181"/>
        <w:rPr>
          <w:rFonts w:hint="eastAsia" w:ascii="仿宋_GB2312" w:eastAsia="仿宋_GB2312"/>
          <w:sz w:val="28"/>
          <w:szCs w:val="36"/>
          <w:lang w:eastAsia="zh-CN"/>
        </w:rPr>
      </w:pPr>
      <w:r>
        <w:rPr>
          <w:rFonts w:hint="eastAsia" w:ascii="仿宋_GB2312" w:eastAsia="仿宋_GB2312"/>
          <w:sz w:val="28"/>
          <w:szCs w:val="36"/>
        </w:rPr>
        <w:t>我单位严格按照财政部门预算编制与预算调整的工作要求，在预算编制、分配依据充分的条件下，切实做好“先定目标再编预算”，确保预算分配结果合理。同时按照</w:t>
      </w:r>
      <w:r>
        <w:rPr>
          <w:rFonts w:hint="eastAsia" w:ascii="仿宋_GB2312" w:eastAsia="仿宋_GB2312"/>
          <w:sz w:val="28"/>
          <w:szCs w:val="36"/>
          <w:lang w:eastAsia="zh-CN"/>
        </w:rPr>
        <w:t>县财政局</w:t>
      </w:r>
      <w:r>
        <w:rPr>
          <w:rFonts w:hint="eastAsia" w:ascii="仿宋_GB2312" w:eastAsia="仿宋_GB2312"/>
          <w:sz w:val="28"/>
          <w:szCs w:val="36"/>
        </w:rPr>
        <w:t>要求，部门预算及绩效目标在</w:t>
      </w:r>
      <w:r>
        <w:rPr>
          <w:rFonts w:hint="eastAsia" w:ascii="仿宋_GB2312" w:eastAsia="仿宋_GB2312"/>
          <w:sz w:val="28"/>
          <w:szCs w:val="36"/>
          <w:lang w:eastAsia="zh-CN"/>
        </w:rPr>
        <w:t>政府网站</w:t>
      </w:r>
      <w:r>
        <w:rPr>
          <w:rFonts w:hint="eastAsia" w:ascii="仿宋_GB2312" w:eastAsia="仿宋_GB2312"/>
          <w:sz w:val="28"/>
          <w:szCs w:val="36"/>
        </w:rPr>
        <w:t>公开，</w:t>
      </w:r>
      <w:r>
        <w:rPr>
          <w:rFonts w:hint="eastAsia" w:ascii="仿宋_GB2312" w:eastAsia="仿宋_GB2312"/>
          <w:sz w:val="28"/>
          <w:szCs w:val="36"/>
          <w:lang w:val="zh-CN"/>
        </w:rPr>
        <w:t>广泛接受社会监督</w:t>
      </w:r>
      <w:r>
        <w:rPr>
          <w:rFonts w:hint="eastAsia" w:ascii="仿宋_GB2312" w:eastAsia="仿宋_GB2312"/>
          <w:sz w:val="28"/>
          <w:szCs w:val="36"/>
        </w:rPr>
        <w:t>单位是否按照政府信息公开有关规定公开相关预决算信息，用以反映和考核单位预决算管理的公开透明情况</w:t>
      </w:r>
      <w:r>
        <w:rPr>
          <w:rFonts w:hint="eastAsia" w:ascii="仿宋_GB2312" w:eastAsia="仿宋_GB2312"/>
          <w:sz w:val="28"/>
          <w:szCs w:val="36"/>
          <w:lang w:eastAsia="zh-CN"/>
        </w:rPr>
        <w:t>。</w:t>
      </w:r>
    </w:p>
    <w:p>
      <w:pPr>
        <w:pStyle w:val="5"/>
        <w:spacing w:line="360" w:lineRule="auto"/>
        <w:ind w:firstLine="562" w:firstLineChars="200"/>
        <w:rPr>
          <w:rStyle w:val="16"/>
          <w:rFonts w:ascii="仿宋" w:hAnsi="仿宋" w:eastAsia="仿宋"/>
          <w:b/>
          <w:bCs/>
        </w:rPr>
      </w:pPr>
      <w:bookmarkStart w:id="13" w:name="_Toc70450300"/>
      <w:r>
        <w:rPr>
          <w:rStyle w:val="16"/>
          <w:rFonts w:hint="eastAsia" w:ascii="仿宋" w:hAnsi="仿宋" w:eastAsia="仿宋"/>
          <w:b/>
          <w:bCs/>
        </w:rPr>
        <w:t>2</w:t>
      </w:r>
      <w:r>
        <w:rPr>
          <w:rStyle w:val="16"/>
          <w:rFonts w:ascii="仿宋" w:hAnsi="仿宋" w:eastAsia="仿宋"/>
          <w:b/>
          <w:bCs/>
        </w:rPr>
        <w:t>、预算</w:t>
      </w:r>
      <w:r>
        <w:rPr>
          <w:rStyle w:val="16"/>
          <w:rFonts w:hint="eastAsia" w:ascii="仿宋" w:hAnsi="仿宋" w:eastAsia="仿宋"/>
          <w:b/>
          <w:bCs/>
        </w:rPr>
        <w:t>支出</w:t>
      </w:r>
      <w:r>
        <w:rPr>
          <w:rStyle w:val="16"/>
          <w:rFonts w:ascii="仿宋" w:hAnsi="仿宋" w:eastAsia="仿宋"/>
          <w:b/>
          <w:bCs/>
        </w:rPr>
        <w:t>管理</w:t>
      </w:r>
      <w:bookmarkEnd w:id="13"/>
    </w:p>
    <w:p>
      <w:pPr>
        <w:spacing w:line="360" w:lineRule="auto"/>
        <w:ind w:firstLine="560" w:firstLineChars="200"/>
        <w:rPr>
          <w:rStyle w:val="16"/>
          <w:b w:val="0"/>
          <w:bCs w:val="0"/>
        </w:rPr>
      </w:pPr>
      <w:r>
        <w:rPr>
          <w:rFonts w:hint="eastAsia" w:ascii="仿宋_GB2312" w:eastAsia="仿宋_GB2312"/>
          <w:color w:val="auto"/>
          <w:sz w:val="28"/>
          <w:szCs w:val="36"/>
        </w:rPr>
        <w:t>我</w:t>
      </w:r>
      <w:r>
        <w:rPr>
          <w:rStyle w:val="16"/>
          <w:rFonts w:hint="eastAsia" w:ascii="仿宋_GB2312" w:hAnsi="楷体" w:eastAsia="仿宋_GB2312"/>
          <w:b w:val="0"/>
          <w:color w:val="auto"/>
          <w:spacing w:val="-4"/>
          <w:sz w:val="28"/>
          <w:szCs w:val="28"/>
        </w:rPr>
        <w:t>单位</w:t>
      </w:r>
      <w:r>
        <w:rPr>
          <w:rFonts w:hint="eastAsia" w:ascii="仿宋_GB2312" w:eastAsia="仿宋_GB2312"/>
          <w:color w:val="auto"/>
          <w:sz w:val="28"/>
          <w:szCs w:val="36"/>
        </w:rPr>
        <w:t>按</w:t>
      </w:r>
      <w:r>
        <w:rPr>
          <w:rFonts w:hint="eastAsia" w:ascii="仿宋_GB2312" w:eastAsia="仿宋_GB2312"/>
          <w:sz w:val="28"/>
          <w:szCs w:val="36"/>
        </w:rPr>
        <w:t>照财政要求基本支出分月度申报资金使用计划，由财政部门按照进度每月按期拨付，人员支出按照工资计划发放工资；依照</w:t>
      </w:r>
      <w:r>
        <w:rPr>
          <w:rFonts w:hint="eastAsia" w:ascii="仿宋_GB2312" w:eastAsia="仿宋_GB2312"/>
          <w:sz w:val="28"/>
          <w:szCs w:val="36"/>
          <w:lang w:eastAsia="zh-CN"/>
        </w:rPr>
        <w:t>特克斯县审计局</w:t>
      </w:r>
      <w:r>
        <w:rPr>
          <w:rFonts w:hint="eastAsia" w:ascii="仿宋_GB2312" w:eastAsia="仿宋_GB2312"/>
          <w:sz w:val="28"/>
          <w:szCs w:val="36"/>
        </w:rPr>
        <w:t>《</w:t>
      </w:r>
      <w:r>
        <w:rPr>
          <w:rFonts w:hint="eastAsia" w:ascii="仿宋_GB2312" w:eastAsia="仿宋_GB2312"/>
          <w:sz w:val="28"/>
          <w:szCs w:val="36"/>
          <w:lang w:eastAsia="zh-CN"/>
        </w:rPr>
        <w:t>财务制度</w:t>
      </w:r>
      <w:r>
        <w:rPr>
          <w:rFonts w:hint="eastAsia" w:ascii="仿宋_GB2312" w:eastAsia="仿宋_GB2312"/>
          <w:sz w:val="28"/>
          <w:szCs w:val="36"/>
        </w:rPr>
        <w:t>》相关规定和</w:t>
      </w:r>
      <w:r>
        <w:rPr>
          <w:rFonts w:hint="eastAsia" w:ascii="仿宋_GB2312" w:eastAsia="仿宋_GB2312"/>
          <w:sz w:val="28"/>
          <w:szCs w:val="36"/>
          <w:lang w:eastAsia="zh-CN"/>
        </w:rPr>
        <w:t>特克斯县审计局</w:t>
      </w:r>
      <w:r>
        <w:rPr>
          <w:rFonts w:hint="eastAsia" w:ascii="仿宋_GB2312" w:eastAsia="仿宋_GB2312"/>
          <w:sz w:val="28"/>
          <w:szCs w:val="36"/>
        </w:rPr>
        <w:t>《</w:t>
      </w:r>
      <w:r>
        <w:rPr>
          <w:rFonts w:hint="eastAsia" w:ascii="仿宋_GB2312" w:eastAsia="仿宋_GB2312"/>
          <w:sz w:val="28"/>
          <w:szCs w:val="36"/>
          <w:lang w:eastAsia="zh-CN"/>
        </w:rPr>
        <w:t>内部控制</w:t>
      </w:r>
      <w:r>
        <w:rPr>
          <w:rFonts w:hint="eastAsia" w:ascii="仿宋_GB2312" w:eastAsia="仿宋_GB2312"/>
          <w:sz w:val="28"/>
          <w:szCs w:val="36"/>
        </w:rPr>
        <w:t>》规定流程，资金支出按照我内控体系中设定的流程申报审批进行；项目支出属于政府采购的，按照局</w:t>
      </w:r>
      <w:r>
        <w:rPr>
          <w:rFonts w:hint="eastAsia" w:ascii="仿宋_GB2312" w:eastAsia="仿宋_GB2312"/>
          <w:sz w:val="28"/>
          <w:szCs w:val="36"/>
          <w:lang w:eastAsia="zh-CN"/>
        </w:rPr>
        <w:t>特克斯县审计局</w:t>
      </w:r>
      <w:r>
        <w:rPr>
          <w:rFonts w:hint="eastAsia" w:ascii="仿宋_GB2312" w:eastAsia="仿宋_GB2312"/>
          <w:sz w:val="28"/>
          <w:szCs w:val="36"/>
        </w:rPr>
        <w:t>《</w:t>
      </w:r>
      <w:r>
        <w:rPr>
          <w:rFonts w:hint="eastAsia" w:ascii="仿宋_GB2312" w:eastAsia="仿宋_GB2312"/>
          <w:sz w:val="28"/>
          <w:szCs w:val="36"/>
          <w:lang w:eastAsia="zh-CN"/>
        </w:rPr>
        <w:t>政府</w:t>
      </w:r>
      <w:r>
        <w:rPr>
          <w:rFonts w:hint="eastAsia" w:ascii="仿宋_GB2312" w:eastAsia="仿宋_GB2312"/>
          <w:sz w:val="28"/>
          <w:szCs w:val="36"/>
        </w:rPr>
        <w:t>采购与招标管理办法》组织人员制定采购计划，按照财政局采购部门批复，进行公开招标、邀请招标等方式进行；属于非政府采购的项目，按照“三重一大”制度规定，重大项目支出上党组会研究决定。</w:t>
      </w:r>
    </w:p>
    <w:p>
      <w:pPr>
        <w:pStyle w:val="4"/>
        <w:spacing w:line="360" w:lineRule="auto"/>
        <w:ind w:firstLine="562" w:firstLineChars="200"/>
        <w:rPr>
          <w:rStyle w:val="16"/>
          <w:b/>
          <w:bCs/>
          <w:sz w:val="28"/>
          <w:szCs w:val="28"/>
        </w:rPr>
      </w:pPr>
      <w:bookmarkStart w:id="14" w:name="_Toc70450301"/>
      <w:r>
        <w:rPr>
          <w:rStyle w:val="16"/>
          <w:rFonts w:hint="eastAsia"/>
          <w:b/>
          <w:bCs/>
          <w:sz w:val="28"/>
          <w:szCs w:val="28"/>
        </w:rPr>
        <w:t>（</w:t>
      </w:r>
      <w:r>
        <w:rPr>
          <w:rStyle w:val="16"/>
          <w:rFonts w:hint="eastAsia"/>
          <w:b/>
          <w:bCs/>
          <w:sz w:val="28"/>
          <w:szCs w:val="28"/>
          <w:lang w:eastAsia="zh-CN"/>
        </w:rPr>
        <w:t>一</w:t>
      </w:r>
      <w:r>
        <w:rPr>
          <w:rStyle w:val="16"/>
          <w:rFonts w:hint="eastAsia"/>
          <w:b/>
          <w:bCs/>
          <w:sz w:val="28"/>
          <w:szCs w:val="28"/>
        </w:rPr>
        <w:t>）基本支出管理及使用情况</w:t>
      </w:r>
      <w:bookmarkEnd w:id="14"/>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2021年基本支出预算安排</w:t>
      </w:r>
      <w:r>
        <w:rPr>
          <w:rStyle w:val="16"/>
          <w:rFonts w:hint="eastAsia" w:ascii="仿宋_GB2312" w:hAnsi="楷体" w:eastAsia="仿宋_GB2312"/>
          <w:b w:val="0"/>
          <w:spacing w:val="-4"/>
          <w:sz w:val="28"/>
          <w:szCs w:val="28"/>
          <w:lang w:val="en-US" w:eastAsia="zh-CN"/>
        </w:rPr>
        <w:t>36.64</w:t>
      </w:r>
      <w:r>
        <w:rPr>
          <w:rStyle w:val="16"/>
          <w:rFonts w:hint="eastAsia" w:ascii="仿宋_GB2312" w:hAnsi="楷体" w:eastAsia="仿宋_GB2312"/>
          <w:b w:val="0"/>
          <w:spacing w:val="-4"/>
          <w:sz w:val="28"/>
          <w:szCs w:val="28"/>
        </w:rPr>
        <w:t>万元，实际到位</w:t>
      </w:r>
      <w:r>
        <w:rPr>
          <w:rStyle w:val="16"/>
          <w:rFonts w:hint="eastAsia" w:ascii="仿宋_GB2312" w:hAnsi="楷体" w:eastAsia="仿宋_GB2312"/>
          <w:b w:val="0"/>
          <w:spacing w:val="-4"/>
          <w:sz w:val="28"/>
          <w:szCs w:val="28"/>
          <w:lang w:val="en-US" w:eastAsia="zh-CN"/>
        </w:rPr>
        <w:t>36.64</w:t>
      </w:r>
      <w:r>
        <w:rPr>
          <w:rStyle w:val="16"/>
          <w:rFonts w:hint="eastAsia" w:ascii="仿宋_GB2312" w:hAnsi="楷体" w:eastAsia="仿宋_GB2312"/>
          <w:b w:val="0"/>
          <w:spacing w:val="-4"/>
          <w:sz w:val="28"/>
          <w:szCs w:val="28"/>
        </w:rPr>
        <w:t>万元,实际支出</w:t>
      </w:r>
      <w:r>
        <w:rPr>
          <w:rStyle w:val="16"/>
          <w:rFonts w:hint="eastAsia" w:ascii="仿宋_GB2312" w:hAnsi="楷体" w:eastAsia="仿宋_GB2312"/>
          <w:b w:val="0"/>
          <w:spacing w:val="-4"/>
          <w:sz w:val="28"/>
          <w:szCs w:val="28"/>
          <w:lang w:val="en-US" w:eastAsia="zh-CN"/>
        </w:rPr>
        <w:t>36.64</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％，其中：工资福利支出</w:t>
      </w:r>
      <w:r>
        <w:rPr>
          <w:rStyle w:val="16"/>
          <w:rFonts w:hint="eastAsia" w:ascii="仿宋_GB2312" w:hAnsi="楷体" w:eastAsia="仿宋_GB2312"/>
          <w:b w:val="0"/>
          <w:spacing w:val="-4"/>
          <w:sz w:val="28"/>
          <w:szCs w:val="28"/>
          <w:lang w:val="en-US" w:eastAsia="zh-CN"/>
        </w:rPr>
        <w:t>34.76</w:t>
      </w:r>
      <w:r>
        <w:rPr>
          <w:rStyle w:val="16"/>
          <w:rFonts w:hint="eastAsia" w:ascii="仿宋_GB2312" w:hAnsi="楷体" w:eastAsia="仿宋_GB2312"/>
          <w:b w:val="0"/>
          <w:spacing w:val="-4"/>
          <w:sz w:val="28"/>
          <w:szCs w:val="28"/>
        </w:rPr>
        <w:t>万元、商品和服务支出</w:t>
      </w:r>
      <w:r>
        <w:rPr>
          <w:rStyle w:val="16"/>
          <w:rFonts w:hint="eastAsia" w:ascii="仿宋_GB2312" w:hAnsi="楷体" w:eastAsia="仿宋_GB2312"/>
          <w:b w:val="0"/>
          <w:spacing w:val="-4"/>
          <w:sz w:val="28"/>
          <w:szCs w:val="28"/>
          <w:lang w:val="en-US" w:eastAsia="zh-CN"/>
        </w:rPr>
        <w:t>1.88</w:t>
      </w:r>
      <w:r>
        <w:rPr>
          <w:rStyle w:val="16"/>
          <w:rFonts w:hint="eastAsia" w:ascii="仿宋_GB2312" w:hAnsi="楷体" w:eastAsia="仿宋_GB2312"/>
          <w:b w:val="0"/>
          <w:spacing w:val="-4"/>
          <w:sz w:val="28"/>
          <w:szCs w:val="28"/>
        </w:rPr>
        <w:t>万元、对个人和家庭的补助</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万元。资本性支出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p>
    <w:p>
      <w:pPr>
        <w:pStyle w:val="12"/>
        <w:widowControl/>
        <w:spacing w:before="40" w:beforeAutospacing="0" w:after="0" w:afterAutospacing="0" w:line="520" w:lineRule="atLeast"/>
        <w:ind w:firstLine="520"/>
        <w:jc w:val="both"/>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2021年基本支出比上年</w:t>
      </w:r>
      <w:r>
        <w:rPr>
          <w:rStyle w:val="16"/>
          <w:rFonts w:hint="eastAsia" w:ascii="仿宋_GB2312" w:hAnsi="楷体" w:eastAsia="仿宋_GB2312"/>
          <w:b w:val="0"/>
          <w:spacing w:val="-4"/>
          <w:sz w:val="28"/>
          <w:szCs w:val="28"/>
          <w:highlight w:val="none"/>
          <w:lang w:val="en-US" w:eastAsia="zh-CN"/>
        </w:rPr>
        <w:t>35.99</w:t>
      </w:r>
      <w:r>
        <w:rPr>
          <w:rStyle w:val="16"/>
          <w:rFonts w:hint="eastAsia" w:ascii="仿宋_GB2312" w:hAnsi="楷体" w:eastAsia="仿宋_GB2312"/>
          <w:b w:val="0"/>
          <w:spacing w:val="-4"/>
          <w:sz w:val="28"/>
          <w:szCs w:val="28"/>
          <w:highlight w:val="none"/>
        </w:rPr>
        <w:t>万元,增加</w:t>
      </w:r>
      <w:r>
        <w:rPr>
          <w:rStyle w:val="16"/>
          <w:rFonts w:hint="eastAsia" w:ascii="仿宋_GB2312" w:hAnsi="楷体" w:eastAsia="仿宋_GB2312"/>
          <w:b w:val="0"/>
          <w:spacing w:val="-4"/>
          <w:sz w:val="28"/>
          <w:szCs w:val="28"/>
          <w:highlight w:val="none"/>
          <w:lang w:val="en-US" w:eastAsia="zh-CN"/>
        </w:rPr>
        <w:t>0.65</w:t>
      </w:r>
      <w:r>
        <w:rPr>
          <w:rStyle w:val="16"/>
          <w:rFonts w:hint="eastAsia" w:ascii="仿宋_GB2312" w:hAnsi="楷体" w:eastAsia="仿宋_GB2312"/>
          <w:b w:val="0"/>
          <w:spacing w:val="-4"/>
          <w:sz w:val="28"/>
          <w:szCs w:val="28"/>
          <w:highlight w:val="none"/>
        </w:rPr>
        <w:t>万元，上升</w:t>
      </w:r>
      <w:r>
        <w:rPr>
          <w:rStyle w:val="16"/>
          <w:rFonts w:hint="eastAsia" w:ascii="仿宋_GB2312" w:hAnsi="宋体" w:eastAsia="仿宋_GB2312"/>
          <w:b w:val="0"/>
          <w:bCs w:val="0"/>
          <w:spacing w:val="-4"/>
          <w:sz w:val="28"/>
          <w:szCs w:val="28"/>
          <w:highlight w:val="none"/>
          <w:lang w:val="en-US" w:eastAsia="zh-CN"/>
        </w:rPr>
        <w:t>1.81</w:t>
      </w:r>
      <w:r>
        <w:rPr>
          <w:rStyle w:val="16"/>
          <w:rFonts w:ascii="仿宋_GB2312" w:hAnsi="宋体" w:eastAsia="仿宋_GB2312"/>
          <w:b w:val="0"/>
          <w:bCs w:val="0"/>
          <w:spacing w:val="-4"/>
          <w:sz w:val="28"/>
          <w:szCs w:val="28"/>
          <w:highlight w:val="none"/>
        </w:rPr>
        <w:t>%</w:t>
      </w:r>
      <w:r>
        <w:rPr>
          <w:rStyle w:val="16"/>
          <w:rFonts w:hint="eastAsia" w:ascii="仿宋_GB2312" w:hAnsi="楷体" w:eastAsia="仿宋_GB2312"/>
          <w:b w:val="0"/>
          <w:spacing w:val="-4"/>
          <w:sz w:val="28"/>
          <w:szCs w:val="28"/>
          <w:highlight w:val="none"/>
        </w:rPr>
        <w:t>，支出上升的主要原因是</w:t>
      </w:r>
      <w:r>
        <w:rPr>
          <w:rFonts w:ascii="仿宋_GB2312" w:hAnsi="仿宋_GB2312" w:eastAsia="仿宋_GB2312" w:cs="仿宋_GB2312"/>
          <w:sz w:val="28"/>
          <w:szCs w:val="28"/>
          <w:highlight w:val="none"/>
        </w:rPr>
        <w:t>人员工资</w:t>
      </w:r>
      <w:r>
        <w:rPr>
          <w:rFonts w:hint="eastAsia" w:ascii="仿宋_GB2312" w:hAnsi="仿宋_GB2312" w:eastAsia="仿宋_GB2312" w:cs="仿宋_GB2312"/>
          <w:sz w:val="28"/>
          <w:szCs w:val="28"/>
          <w:highlight w:val="none"/>
          <w:lang w:val="en-US" w:eastAsia="zh-CN"/>
        </w:rPr>
        <w:t>变动，支出增加</w:t>
      </w:r>
      <w:r>
        <w:rPr>
          <w:rStyle w:val="16"/>
          <w:rFonts w:hint="eastAsia" w:ascii="仿宋_GB2312" w:hAnsi="楷体" w:eastAsia="仿宋_GB2312"/>
          <w:b w:val="0"/>
          <w:spacing w:val="-4"/>
          <w:sz w:val="28"/>
          <w:szCs w:val="28"/>
          <w:highlight w:val="none"/>
        </w:rPr>
        <w:t>。</w:t>
      </w:r>
    </w:p>
    <w:p>
      <w:pPr>
        <w:spacing w:line="360" w:lineRule="auto"/>
        <w:ind w:firstLine="492" w:firstLineChars="181"/>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年一般公共预算“三公”经费数为</w:t>
      </w:r>
      <w:r>
        <w:rPr>
          <w:rStyle w:val="16"/>
          <w:rFonts w:hint="eastAsia" w:ascii="仿宋_GB2312" w:hAnsi="楷体" w:eastAsia="仿宋_GB2312"/>
          <w:b w:val="0"/>
          <w:spacing w:val="-4"/>
          <w:sz w:val="28"/>
          <w:szCs w:val="28"/>
          <w:lang w:val="en-US" w:eastAsia="zh-CN"/>
        </w:rPr>
        <w:t>0.8</w:t>
      </w:r>
      <w:r>
        <w:rPr>
          <w:rStyle w:val="16"/>
          <w:rFonts w:hint="eastAsia" w:ascii="仿宋_GB2312" w:hAnsi="楷体" w:eastAsia="仿宋_GB2312"/>
          <w:b w:val="0"/>
          <w:spacing w:val="-4"/>
          <w:sz w:val="28"/>
          <w:szCs w:val="28"/>
        </w:rPr>
        <w:t>万元，其中：因公出国（境）费</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万元，公务用车购置</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万元，公务用车运行费</w:t>
      </w:r>
      <w:r>
        <w:rPr>
          <w:rStyle w:val="16"/>
          <w:rFonts w:hint="eastAsia" w:ascii="仿宋_GB2312" w:hAnsi="楷体" w:eastAsia="仿宋_GB2312"/>
          <w:b w:val="0"/>
          <w:spacing w:val="-4"/>
          <w:sz w:val="28"/>
          <w:szCs w:val="28"/>
          <w:lang w:val="en-US" w:eastAsia="zh-CN"/>
        </w:rPr>
        <w:t>0.8</w:t>
      </w:r>
      <w:r>
        <w:rPr>
          <w:rStyle w:val="16"/>
          <w:rFonts w:hint="eastAsia" w:ascii="仿宋_GB2312" w:hAnsi="楷体" w:eastAsia="仿宋_GB2312"/>
          <w:b w:val="0"/>
          <w:spacing w:val="-4"/>
          <w:sz w:val="28"/>
          <w:szCs w:val="28"/>
        </w:rPr>
        <w:t>万元，公务接待费</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p>
    <w:p>
      <w:pPr>
        <w:spacing w:line="360" w:lineRule="auto"/>
        <w:ind w:firstLine="492" w:firstLineChars="181"/>
        <w:rPr>
          <w:rStyle w:val="16"/>
          <w:rFonts w:ascii="仿宋_GB2312" w:hAnsi="楷体" w:eastAsia="仿宋_GB2312"/>
          <w:b w:val="0"/>
          <w:spacing w:val="-4"/>
          <w:sz w:val="28"/>
          <w:szCs w:val="28"/>
          <w:highlight w:val="none"/>
        </w:rPr>
      </w:pPr>
      <w:r>
        <w:rPr>
          <w:rStyle w:val="16"/>
          <w:rFonts w:ascii="仿宋_GB2312" w:hAnsi="楷体" w:eastAsia="仿宋_GB2312"/>
          <w:b w:val="0"/>
          <w:spacing w:val="-4"/>
          <w:sz w:val="28"/>
          <w:szCs w:val="28"/>
          <w:highlight w:val="none"/>
        </w:rPr>
        <w:t>2021</w:t>
      </w:r>
      <w:r>
        <w:rPr>
          <w:rStyle w:val="16"/>
          <w:rFonts w:hint="eastAsia" w:ascii="仿宋_GB2312" w:hAnsi="楷体" w:eastAsia="仿宋_GB2312"/>
          <w:b w:val="0"/>
          <w:spacing w:val="-4"/>
          <w:sz w:val="28"/>
          <w:szCs w:val="28"/>
          <w:highlight w:val="none"/>
        </w:rPr>
        <w:t>年一般公共预算“三公”经费比上年减少</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万元，其中：因公出国（境）费增加</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万元</w:t>
      </w:r>
      <w:r>
        <w:rPr>
          <w:rStyle w:val="16"/>
          <w:rFonts w:hint="eastAsia" w:ascii="仿宋_GB2312" w:hAnsi="楷体" w:eastAsia="仿宋_GB2312"/>
          <w:b w:val="0"/>
          <w:spacing w:val="-4"/>
          <w:sz w:val="28"/>
          <w:szCs w:val="28"/>
          <w:highlight w:val="none"/>
          <w:lang w:eastAsia="zh-CN"/>
        </w:rPr>
        <w:t>，</w:t>
      </w:r>
      <w:r>
        <w:rPr>
          <w:rStyle w:val="16"/>
          <w:rFonts w:hint="eastAsia" w:ascii="仿宋_GB2312" w:hAnsi="楷体" w:eastAsia="仿宋_GB2312"/>
          <w:b w:val="0"/>
          <w:spacing w:val="-4"/>
          <w:sz w:val="28"/>
          <w:szCs w:val="28"/>
          <w:highlight w:val="none"/>
        </w:rPr>
        <w:t>主要原因是未安排预算；公务用车购置费为0，未安排预算。公务用车运行费减少</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万元</w:t>
      </w:r>
      <w:r>
        <w:rPr>
          <w:rStyle w:val="16"/>
          <w:rFonts w:hint="eastAsia" w:ascii="仿宋_GB2312" w:hAnsi="楷体" w:eastAsia="仿宋_GB2312"/>
          <w:b w:val="0"/>
          <w:spacing w:val="-4"/>
          <w:sz w:val="28"/>
          <w:szCs w:val="28"/>
          <w:highlight w:val="none"/>
          <w:lang w:eastAsia="zh-CN"/>
        </w:rPr>
        <w:t>，</w:t>
      </w:r>
      <w:r>
        <w:rPr>
          <w:rStyle w:val="16"/>
          <w:rFonts w:hint="eastAsia" w:ascii="仿宋_GB2312" w:hAnsi="楷体" w:eastAsia="仿宋_GB2312"/>
          <w:b w:val="0"/>
          <w:spacing w:val="-4"/>
          <w:sz w:val="28"/>
          <w:szCs w:val="28"/>
          <w:highlight w:val="none"/>
        </w:rPr>
        <w:t>主要原因是未安排预算 ；公务接待费增加</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万元</w:t>
      </w:r>
      <w:r>
        <w:rPr>
          <w:rStyle w:val="16"/>
          <w:rFonts w:hint="eastAsia" w:ascii="仿宋_GB2312" w:hAnsi="楷体" w:eastAsia="仿宋_GB2312"/>
          <w:b w:val="0"/>
          <w:spacing w:val="-4"/>
          <w:sz w:val="28"/>
          <w:szCs w:val="28"/>
          <w:highlight w:val="none"/>
          <w:lang w:eastAsia="zh-CN"/>
        </w:rPr>
        <w:t>，</w:t>
      </w:r>
      <w:r>
        <w:rPr>
          <w:rStyle w:val="16"/>
          <w:rFonts w:hint="eastAsia" w:ascii="仿宋_GB2312" w:hAnsi="楷体" w:eastAsia="仿宋_GB2312"/>
          <w:b w:val="0"/>
          <w:spacing w:val="-4"/>
          <w:sz w:val="28"/>
          <w:szCs w:val="28"/>
          <w:highlight w:val="none"/>
        </w:rPr>
        <w:t>主要原因是未安排预算 。</w:t>
      </w:r>
    </w:p>
    <w:p>
      <w:pPr>
        <w:pStyle w:val="4"/>
        <w:spacing w:line="360" w:lineRule="auto"/>
        <w:rPr>
          <w:rStyle w:val="16"/>
          <w:rFonts w:ascii="仿宋" w:hAnsi="仿宋" w:eastAsia="仿宋"/>
          <w:b/>
          <w:bCs/>
        </w:rPr>
      </w:pPr>
      <w:bookmarkStart w:id="15" w:name="_Toc70450302"/>
      <w:r>
        <w:rPr>
          <w:rStyle w:val="16"/>
          <w:rFonts w:hint="eastAsia" w:ascii="仿宋" w:hAnsi="仿宋" w:eastAsia="仿宋"/>
          <w:b/>
          <w:bCs/>
        </w:rPr>
        <w:t>（三）专项支出管理及使用情况</w:t>
      </w:r>
      <w:bookmarkEnd w:id="15"/>
    </w:p>
    <w:p>
      <w:pPr>
        <w:pStyle w:val="5"/>
        <w:spacing w:line="360" w:lineRule="auto"/>
        <w:ind w:firstLine="562" w:firstLineChars="200"/>
        <w:rPr>
          <w:rStyle w:val="16"/>
          <w:rFonts w:ascii="仿宋" w:hAnsi="仿宋" w:eastAsia="仿宋"/>
          <w:b/>
          <w:bCs/>
        </w:rPr>
      </w:pPr>
      <w:bookmarkStart w:id="16" w:name="_Toc70450303"/>
      <w:r>
        <w:rPr>
          <w:rStyle w:val="16"/>
          <w:rFonts w:hint="eastAsia" w:ascii="仿宋" w:hAnsi="仿宋" w:eastAsia="仿宋"/>
          <w:b/>
          <w:bCs/>
        </w:rPr>
        <w:t>1、专项资金安排落实、总投入等情况分析</w:t>
      </w:r>
      <w:bookmarkEnd w:id="16"/>
    </w:p>
    <w:p>
      <w:pPr>
        <w:spacing w:line="360" w:lineRule="auto"/>
        <w:ind w:firstLine="492" w:firstLineChars="181"/>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年预算安排专项资金</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万元，实际到位</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r>
        <w:rPr>
          <w:rFonts w:hint="eastAsia"/>
          <w:sz w:val="28"/>
          <w:szCs w:val="28"/>
        </w:rPr>
        <w:t xml:space="preserve"> </w:t>
      </w:r>
      <w:r>
        <w:rPr>
          <w:rStyle w:val="16"/>
          <w:rFonts w:hint="eastAsia" w:ascii="仿宋_GB2312" w:hAnsi="楷体" w:eastAsia="仿宋_GB2312"/>
          <w:b w:val="0"/>
          <w:spacing w:val="-4"/>
          <w:sz w:val="28"/>
          <w:szCs w:val="28"/>
        </w:rPr>
        <w:t>到位率</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％,其中:中央转移支付项目资金</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万元，自治区资金</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万元，本级安排</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p>
    <w:p>
      <w:pPr>
        <w:pStyle w:val="5"/>
        <w:spacing w:line="360" w:lineRule="auto"/>
        <w:ind w:firstLine="562" w:firstLineChars="200"/>
        <w:rPr>
          <w:rStyle w:val="16"/>
          <w:rFonts w:ascii="仿宋" w:hAnsi="仿宋" w:eastAsia="仿宋"/>
          <w:b/>
          <w:bCs/>
        </w:rPr>
      </w:pPr>
      <w:bookmarkStart w:id="17" w:name="_Toc70450304"/>
      <w:r>
        <w:rPr>
          <w:rStyle w:val="16"/>
          <w:rFonts w:hint="eastAsia" w:ascii="仿宋" w:hAnsi="仿宋" w:eastAsia="仿宋"/>
          <w:b/>
          <w:bCs/>
        </w:rPr>
        <w:t>2、专项资金实际使用情况</w:t>
      </w:r>
      <w:bookmarkEnd w:id="17"/>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2021年专项资金支出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%，其中2021年专项项目支出比上年</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万元，上升</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%。主要原因是</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lang w:val="en-US" w:eastAsia="zh-CN"/>
        </w:rPr>
        <w:t>2021年度未安排专项资金预算</w:t>
      </w:r>
      <w:r>
        <w:rPr>
          <w:rStyle w:val="16"/>
          <w:rFonts w:hint="eastAsia" w:ascii="仿宋_GB2312" w:hAnsi="楷体" w:eastAsia="仿宋_GB2312"/>
          <w:b w:val="0"/>
          <w:spacing w:val="-4"/>
          <w:sz w:val="28"/>
          <w:szCs w:val="28"/>
        </w:rPr>
        <w:t>。</w:t>
      </w:r>
    </w:p>
    <w:p>
      <w:pPr>
        <w:pStyle w:val="5"/>
        <w:spacing w:line="360" w:lineRule="auto"/>
        <w:ind w:firstLine="562" w:firstLineChars="200"/>
        <w:rPr>
          <w:rStyle w:val="16"/>
          <w:rFonts w:ascii="仿宋" w:hAnsi="仿宋" w:eastAsia="仿宋"/>
          <w:b/>
          <w:bCs/>
        </w:rPr>
      </w:pPr>
      <w:bookmarkStart w:id="18" w:name="_Toc70450305"/>
      <w:r>
        <w:rPr>
          <w:rStyle w:val="16"/>
          <w:rFonts w:hint="eastAsia" w:ascii="仿宋" w:hAnsi="仿宋" w:eastAsia="仿宋"/>
          <w:b/>
          <w:bCs/>
        </w:rPr>
        <w:t>3、专项资金管理情况</w:t>
      </w:r>
      <w:bookmarkEnd w:id="18"/>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为规范专项资金使用，提高专项资金使用效益，</w:t>
      </w:r>
      <w:r>
        <w:rPr>
          <w:rStyle w:val="16"/>
          <w:rFonts w:hint="eastAsia" w:ascii="仿宋_GB2312" w:hAnsi="楷体" w:eastAsia="仿宋_GB2312"/>
          <w:b w:val="0"/>
          <w:color w:val="auto"/>
          <w:spacing w:val="-4"/>
          <w:sz w:val="28"/>
          <w:szCs w:val="28"/>
        </w:rPr>
        <w:t>我单位</w:t>
      </w:r>
      <w:r>
        <w:rPr>
          <w:rStyle w:val="16"/>
          <w:rFonts w:hint="eastAsia" w:ascii="仿宋_GB2312" w:hAnsi="楷体" w:eastAsia="仿宋_GB2312"/>
          <w:b w:val="0"/>
          <w:spacing w:val="-4"/>
          <w:sz w:val="28"/>
          <w:szCs w:val="28"/>
        </w:rPr>
        <w:t>主要采取四项措施。</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一是制订专项资金管理制度；二是各专项资金建立了专帐；三是制订了项目实施方案；四是认真组织项目验收。切实确保专项资金都做到了专款专用。其中：</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（1）制定了《</w:t>
      </w:r>
      <w:r>
        <w:rPr>
          <w:rStyle w:val="16"/>
          <w:rFonts w:hint="eastAsia" w:ascii="仿宋_GB2312" w:hAnsi="楷体" w:eastAsia="仿宋_GB2312"/>
          <w:b w:val="0"/>
          <w:spacing w:val="-4"/>
          <w:sz w:val="28"/>
          <w:szCs w:val="28"/>
          <w:lang w:eastAsia="zh-CN"/>
        </w:rPr>
        <w:t>特克斯县政府采购管理制度</w:t>
      </w:r>
      <w:r>
        <w:rPr>
          <w:rStyle w:val="16"/>
          <w:rFonts w:hint="eastAsia" w:ascii="仿宋_GB2312" w:hAnsi="楷体" w:eastAsia="仿宋_GB2312"/>
          <w:b w:val="0"/>
          <w:spacing w:val="-4"/>
          <w:sz w:val="28"/>
          <w:szCs w:val="28"/>
        </w:rPr>
        <w:t>》，《</w:t>
      </w:r>
      <w:r>
        <w:rPr>
          <w:rStyle w:val="16"/>
          <w:rFonts w:hint="eastAsia" w:ascii="仿宋_GB2312" w:hAnsi="楷体" w:eastAsia="仿宋_GB2312"/>
          <w:b w:val="0"/>
          <w:spacing w:val="-4"/>
          <w:sz w:val="28"/>
          <w:szCs w:val="28"/>
          <w:lang w:eastAsia="zh-CN"/>
        </w:rPr>
        <w:t>特克斯县政府采购中心内控制度</w:t>
      </w:r>
      <w:r>
        <w:rPr>
          <w:rStyle w:val="16"/>
          <w:rFonts w:hint="eastAsia" w:ascii="仿宋_GB2312" w:hAnsi="楷体" w:eastAsia="仿宋_GB2312"/>
          <w:b w:val="0"/>
          <w:spacing w:val="-4"/>
          <w:sz w:val="28"/>
          <w:szCs w:val="28"/>
        </w:rPr>
        <w:t>》专项资金管理办法，各项资金使用审批流程均按规定办理。涉及“三重一大”内容，严格按照规定提请</w:t>
      </w:r>
      <w:r>
        <w:rPr>
          <w:rStyle w:val="16"/>
          <w:rFonts w:hint="eastAsia" w:ascii="仿宋_GB2312" w:hAnsi="楷体" w:eastAsia="仿宋_GB2312"/>
          <w:b w:val="0"/>
          <w:spacing w:val="-4"/>
          <w:sz w:val="28"/>
          <w:szCs w:val="28"/>
          <w:lang w:eastAsia="zh-CN"/>
        </w:rPr>
        <w:t>单位</w:t>
      </w:r>
      <w:r>
        <w:rPr>
          <w:rStyle w:val="16"/>
          <w:rFonts w:hint="eastAsia" w:ascii="仿宋_GB2312" w:hAnsi="楷体" w:eastAsia="仿宋_GB2312"/>
          <w:b w:val="0"/>
          <w:spacing w:val="-4"/>
          <w:sz w:val="28"/>
          <w:szCs w:val="28"/>
        </w:rPr>
        <w:t>审议决定，包括项目资金分配、重大项目确定、大额资金支付等。</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w:t>
      </w:r>
      <w:r>
        <w:rPr>
          <w:rStyle w:val="16"/>
          <w:rFonts w:ascii="仿宋_GB2312" w:hAnsi="楷体" w:eastAsia="仿宋_GB2312"/>
          <w:b w:val="0"/>
          <w:spacing w:val="-4"/>
          <w:sz w:val="28"/>
          <w:szCs w:val="28"/>
        </w:rPr>
        <w:t>2</w:t>
      </w:r>
      <w:r>
        <w:rPr>
          <w:rStyle w:val="16"/>
          <w:rFonts w:hint="eastAsia" w:ascii="仿宋_GB2312" w:hAnsi="楷体" w:eastAsia="仿宋_GB2312"/>
          <w:b w:val="0"/>
          <w:spacing w:val="-4"/>
          <w:sz w:val="28"/>
          <w:szCs w:val="28"/>
        </w:rPr>
        <w:t>）建立</w:t>
      </w:r>
      <w:r>
        <w:rPr>
          <w:rStyle w:val="16"/>
          <w:rFonts w:hint="eastAsia" w:ascii="仿宋_GB2312" w:hAnsi="楷体" w:eastAsia="仿宋_GB2312"/>
          <w:b w:val="0"/>
          <w:spacing w:val="-4"/>
          <w:sz w:val="28"/>
          <w:szCs w:val="28"/>
          <w:lang w:eastAsia="zh-CN"/>
        </w:rPr>
        <w:t>特克斯县政府采购中心</w:t>
      </w:r>
      <w:r>
        <w:rPr>
          <w:rStyle w:val="16"/>
          <w:rFonts w:hint="eastAsia" w:ascii="仿宋_GB2312" w:hAnsi="楷体" w:eastAsia="仿宋_GB2312"/>
          <w:b w:val="0"/>
          <w:spacing w:val="-4"/>
          <w:sz w:val="28"/>
          <w:szCs w:val="28"/>
        </w:rPr>
        <w:t>专项资金专帐，做到有据可依，有据可查。</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（3）制订了</w:t>
      </w:r>
      <w:r>
        <w:rPr>
          <w:rStyle w:val="16"/>
          <w:rFonts w:hint="eastAsia" w:ascii="仿宋_GB2312" w:hAnsi="楷体" w:eastAsia="仿宋_GB2312"/>
          <w:b w:val="0"/>
          <w:spacing w:val="-4"/>
          <w:sz w:val="28"/>
          <w:szCs w:val="28"/>
          <w:lang w:eastAsia="zh-CN"/>
        </w:rPr>
        <w:t>特克斯县政府采购中心</w:t>
      </w:r>
      <w:r>
        <w:rPr>
          <w:rStyle w:val="16"/>
          <w:rFonts w:hint="eastAsia" w:ascii="仿宋_GB2312" w:hAnsi="楷体" w:eastAsia="仿宋_GB2312"/>
          <w:b w:val="0"/>
          <w:spacing w:val="-4"/>
          <w:sz w:val="28"/>
          <w:szCs w:val="28"/>
        </w:rPr>
        <w:t>项目实施方案，确保项目</w:t>
      </w:r>
      <w:r>
        <w:rPr>
          <w:rStyle w:val="16"/>
          <w:rFonts w:hint="eastAsia" w:ascii="仿宋_GB2312" w:hAnsi="楷体" w:eastAsia="仿宋_GB2312"/>
          <w:b w:val="0"/>
          <w:spacing w:val="-4"/>
          <w:sz w:val="28"/>
          <w:szCs w:val="28"/>
          <w:lang w:eastAsia="zh-CN"/>
        </w:rPr>
        <w:t>顺利进行</w:t>
      </w:r>
      <w:r>
        <w:rPr>
          <w:rStyle w:val="16"/>
          <w:rFonts w:hint="eastAsia" w:ascii="仿宋_GB2312" w:hAnsi="楷体" w:eastAsia="仿宋_GB2312"/>
          <w:b w:val="0"/>
          <w:spacing w:val="-4"/>
          <w:sz w:val="28"/>
          <w:szCs w:val="28"/>
        </w:rPr>
        <w:t>。</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（4）认真组织</w:t>
      </w:r>
      <w:r>
        <w:rPr>
          <w:rStyle w:val="16"/>
          <w:rFonts w:hint="eastAsia" w:ascii="仿宋_GB2312" w:hAnsi="楷体" w:eastAsia="仿宋_GB2312"/>
          <w:b w:val="0"/>
          <w:spacing w:val="-4"/>
          <w:sz w:val="28"/>
          <w:szCs w:val="28"/>
          <w:lang w:eastAsia="zh-CN"/>
        </w:rPr>
        <w:t>特克斯县政府采购中心</w:t>
      </w:r>
      <w:r>
        <w:rPr>
          <w:rStyle w:val="16"/>
          <w:rFonts w:hint="eastAsia" w:ascii="仿宋_GB2312" w:hAnsi="楷体" w:eastAsia="仿宋_GB2312"/>
          <w:b w:val="0"/>
          <w:spacing w:val="-4"/>
          <w:sz w:val="28"/>
          <w:szCs w:val="28"/>
        </w:rPr>
        <w:t>项目验收，确保</w:t>
      </w:r>
      <w:r>
        <w:rPr>
          <w:rStyle w:val="16"/>
          <w:rFonts w:hint="eastAsia" w:ascii="仿宋_GB2312" w:hAnsi="楷体" w:eastAsia="仿宋_GB2312"/>
          <w:b w:val="0"/>
          <w:spacing w:val="-4"/>
          <w:sz w:val="28"/>
          <w:szCs w:val="28"/>
          <w:lang w:eastAsia="zh-CN"/>
        </w:rPr>
        <w:t>项目验收合格</w:t>
      </w:r>
      <w:r>
        <w:rPr>
          <w:rStyle w:val="16"/>
          <w:rFonts w:hint="eastAsia" w:ascii="仿宋_GB2312" w:hAnsi="楷体" w:eastAsia="仿宋_GB2312"/>
          <w:b w:val="0"/>
          <w:spacing w:val="-4"/>
          <w:sz w:val="28"/>
          <w:szCs w:val="28"/>
        </w:rPr>
        <w:t>。</w:t>
      </w:r>
    </w:p>
    <w:p>
      <w:pPr>
        <w:spacing w:line="360" w:lineRule="auto"/>
        <w:ind w:firstLine="492" w:firstLineChars="181"/>
        <w:rPr>
          <w:rStyle w:val="16"/>
          <w:rFonts w:hint="eastAsia" w:ascii="仿宋_GB2312" w:hAnsi="楷体" w:eastAsia="仿宋_GB2312"/>
          <w:b w:val="0"/>
          <w:spacing w:val="-4"/>
          <w:sz w:val="28"/>
          <w:szCs w:val="28"/>
          <w:lang w:eastAsia="zh-CN"/>
        </w:rPr>
      </w:pPr>
      <w:r>
        <w:rPr>
          <w:rStyle w:val="16"/>
          <w:rFonts w:hint="eastAsia" w:ascii="仿宋_GB2312" w:hAnsi="楷体" w:eastAsia="仿宋_GB2312"/>
          <w:b w:val="0"/>
          <w:spacing w:val="-4"/>
          <w:sz w:val="28"/>
          <w:szCs w:val="28"/>
        </w:rPr>
        <w:t>专项资金涉及政府采购项目的，按照局《</w:t>
      </w:r>
      <w:r>
        <w:rPr>
          <w:rStyle w:val="16"/>
          <w:rFonts w:hint="eastAsia" w:ascii="仿宋_GB2312" w:hAnsi="楷体" w:eastAsia="仿宋_GB2312"/>
          <w:b w:val="0"/>
          <w:spacing w:val="-4"/>
          <w:sz w:val="28"/>
          <w:szCs w:val="28"/>
          <w:lang w:eastAsia="zh-CN"/>
        </w:rPr>
        <w:t>政府</w:t>
      </w:r>
      <w:r>
        <w:rPr>
          <w:rStyle w:val="16"/>
          <w:rFonts w:hint="eastAsia" w:ascii="仿宋_GB2312" w:hAnsi="楷体" w:eastAsia="仿宋_GB2312"/>
          <w:b w:val="0"/>
          <w:spacing w:val="-4"/>
          <w:sz w:val="28"/>
          <w:szCs w:val="28"/>
        </w:rPr>
        <w:t>采购与招标管理办法》组织人员制定采购计划，按照财政局采购部门批复，进行公开招标、邀请招标等方式进行</w:t>
      </w:r>
      <w:r>
        <w:rPr>
          <w:rStyle w:val="16"/>
          <w:rFonts w:hint="eastAsia" w:ascii="仿宋_GB2312" w:hAnsi="楷体" w:eastAsia="仿宋_GB2312"/>
          <w:b w:val="0"/>
          <w:spacing w:val="-4"/>
          <w:sz w:val="28"/>
          <w:szCs w:val="28"/>
          <w:lang w:eastAsia="zh-CN"/>
        </w:rPr>
        <w:t>。</w:t>
      </w:r>
    </w:p>
    <w:p>
      <w:pPr>
        <w:pStyle w:val="3"/>
        <w:spacing w:line="360" w:lineRule="auto"/>
        <w:rPr>
          <w:rFonts w:ascii="仿宋" w:hAnsi="仿宋" w:eastAsia="仿宋"/>
          <w:sz w:val="36"/>
          <w:szCs w:val="36"/>
          <w:lang w:bidi="ar"/>
        </w:rPr>
      </w:pPr>
      <w:bookmarkStart w:id="19" w:name="_Toc70450306"/>
      <w:r>
        <w:rPr>
          <w:rFonts w:hint="eastAsia" w:ascii="仿宋" w:hAnsi="仿宋" w:eastAsia="仿宋"/>
          <w:sz w:val="36"/>
          <w:szCs w:val="36"/>
          <w:lang w:bidi="ar"/>
        </w:rPr>
        <w:t>三、部门单位专项组织实施情况</w:t>
      </w:r>
      <w:bookmarkEnd w:id="19"/>
    </w:p>
    <w:p>
      <w:pPr>
        <w:spacing w:line="360" w:lineRule="auto"/>
        <w:ind w:firstLine="544" w:firstLineChars="200"/>
        <w:rPr>
          <w:rStyle w:val="16"/>
          <w:rFonts w:hint="eastAsia" w:ascii="仿宋_GB2312" w:hAnsi="楷体" w:eastAsia="仿宋_GB2312" w:cs="Times New Roman"/>
          <w:b w:val="0"/>
          <w:color w:val="auto"/>
          <w:spacing w:val="-4"/>
          <w:sz w:val="28"/>
          <w:szCs w:val="28"/>
          <w:lang w:eastAsia="zh-CN"/>
        </w:rPr>
      </w:pPr>
      <w:r>
        <w:rPr>
          <w:rStyle w:val="16"/>
          <w:rFonts w:hint="eastAsia" w:ascii="仿宋_GB2312" w:hAnsi="楷体" w:eastAsia="仿宋_GB2312" w:cs="Times New Roman"/>
          <w:b w:val="0"/>
          <w:color w:val="auto"/>
          <w:spacing w:val="-4"/>
          <w:sz w:val="28"/>
          <w:szCs w:val="28"/>
        </w:rPr>
        <w:t>本单位2021年度未安排项目支出预算</w:t>
      </w:r>
      <w:r>
        <w:rPr>
          <w:rStyle w:val="16"/>
          <w:rFonts w:hint="eastAsia" w:ascii="仿宋_GB2312" w:hAnsi="楷体" w:eastAsia="仿宋_GB2312" w:cs="Times New Roman"/>
          <w:b w:val="0"/>
          <w:color w:val="auto"/>
          <w:spacing w:val="-4"/>
          <w:sz w:val="28"/>
          <w:szCs w:val="28"/>
          <w:lang w:eastAsia="zh-CN"/>
        </w:rPr>
        <w:t>。</w:t>
      </w:r>
    </w:p>
    <w:p>
      <w:pPr>
        <w:pStyle w:val="3"/>
        <w:spacing w:line="360" w:lineRule="auto"/>
        <w:rPr>
          <w:rFonts w:ascii="仿宋" w:hAnsi="仿宋" w:eastAsia="仿宋"/>
          <w:sz w:val="36"/>
          <w:szCs w:val="36"/>
          <w:lang w:bidi="ar"/>
        </w:rPr>
      </w:pPr>
      <w:bookmarkStart w:id="20" w:name="_Toc70450310"/>
      <w:r>
        <w:rPr>
          <w:rFonts w:hint="eastAsia" w:ascii="仿宋" w:hAnsi="仿宋" w:eastAsia="仿宋"/>
          <w:sz w:val="36"/>
          <w:szCs w:val="36"/>
          <w:lang w:bidi="ar"/>
        </w:rPr>
        <w:t>四、资产管理情况</w:t>
      </w:r>
      <w:bookmarkEnd w:id="20"/>
    </w:p>
    <w:p>
      <w:pPr>
        <w:pStyle w:val="4"/>
        <w:spacing w:line="360" w:lineRule="auto"/>
        <w:rPr>
          <w:rStyle w:val="16"/>
          <w:rFonts w:ascii="仿宋" w:hAnsi="仿宋" w:eastAsia="仿宋"/>
          <w:b/>
          <w:bCs/>
        </w:rPr>
      </w:pPr>
      <w:bookmarkStart w:id="21" w:name="_Toc70450311"/>
      <w:r>
        <w:rPr>
          <w:rStyle w:val="16"/>
          <w:rFonts w:hint="eastAsia" w:ascii="仿宋" w:hAnsi="仿宋" w:eastAsia="仿宋"/>
          <w:b/>
          <w:bCs/>
        </w:rPr>
        <w:t>（一）资产配置情况</w:t>
      </w:r>
      <w:bookmarkEnd w:id="21"/>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年我</w:t>
      </w:r>
      <w:r>
        <w:rPr>
          <w:rStyle w:val="16"/>
          <w:rFonts w:hint="eastAsia" w:ascii="仿宋_GB2312" w:hAnsi="楷体" w:eastAsia="仿宋_GB2312"/>
          <w:b w:val="0"/>
          <w:color w:val="auto"/>
          <w:spacing w:val="-4"/>
          <w:sz w:val="28"/>
          <w:szCs w:val="28"/>
        </w:rPr>
        <w:t>单位</w:t>
      </w:r>
      <w:r>
        <w:rPr>
          <w:rStyle w:val="16"/>
          <w:rFonts w:hint="eastAsia" w:ascii="仿宋_GB2312" w:hAnsi="宋体" w:eastAsia="仿宋_GB2312"/>
          <w:b w:val="0"/>
          <w:bCs w:val="0"/>
          <w:spacing w:val="-4"/>
          <w:sz w:val="28"/>
          <w:szCs w:val="28"/>
        </w:rPr>
        <w:t>资产总额</w:t>
      </w:r>
      <w:r>
        <w:rPr>
          <w:rStyle w:val="16"/>
          <w:rFonts w:hint="eastAsia" w:ascii="仿宋_GB2312" w:hAnsi="宋体" w:eastAsia="仿宋_GB2312"/>
          <w:b w:val="0"/>
          <w:bCs w:val="0"/>
          <w:spacing w:val="-4"/>
          <w:sz w:val="28"/>
          <w:szCs w:val="28"/>
          <w:lang w:val="en-US" w:eastAsia="zh-CN"/>
        </w:rPr>
        <w:t>9.35</w:t>
      </w:r>
      <w:r>
        <w:rPr>
          <w:rStyle w:val="16"/>
          <w:rFonts w:hint="eastAsia" w:ascii="仿宋_GB2312" w:hAnsi="宋体" w:eastAsia="仿宋_GB2312"/>
          <w:b w:val="0"/>
          <w:bCs w:val="0"/>
          <w:spacing w:val="-4"/>
          <w:sz w:val="28"/>
          <w:szCs w:val="28"/>
        </w:rPr>
        <w:t>万元，其中流动资产</w:t>
      </w:r>
      <w:r>
        <w:rPr>
          <w:rStyle w:val="16"/>
          <w:rFonts w:hint="eastAsia" w:ascii="仿宋_GB2312" w:hAnsi="宋体" w:eastAsia="仿宋_GB2312"/>
          <w:b w:val="0"/>
          <w:bCs w:val="0"/>
          <w:spacing w:val="-4"/>
          <w:sz w:val="28"/>
          <w:szCs w:val="28"/>
          <w:lang w:val="en-US" w:eastAsia="zh-CN"/>
        </w:rPr>
        <w:t>0</w:t>
      </w:r>
      <w:r>
        <w:rPr>
          <w:rStyle w:val="16"/>
          <w:rFonts w:hint="eastAsia" w:ascii="仿宋_GB2312" w:hAnsi="宋体" w:eastAsia="仿宋_GB2312"/>
          <w:b w:val="0"/>
          <w:bCs w:val="0"/>
          <w:spacing w:val="-4"/>
          <w:sz w:val="28"/>
          <w:szCs w:val="28"/>
        </w:rPr>
        <w:t>万元（其中</w:t>
      </w:r>
      <w:r>
        <w:rPr>
          <w:rStyle w:val="16"/>
          <w:rFonts w:hint="eastAsia" w:ascii="仿宋_GB2312" w:hAnsi="宋体" w:eastAsia="仿宋_GB2312"/>
          <w:b w:val="0"/>
          <w:bCs w:val="0"/>
          <w:spacing w:val="-4"/>
          <w:sz w:val="28"/>
          <w:szCs w:val="28"/>
          <w:lang w:val="en-US" w:eastAsia="zh-CN"/>
        </w:rPr>
        <w:t>0</w:t>
      </w:r>
      <w:r>
        <w:rPr>
          <w:rStyle w:val="16"/>
          <w:rFonts w:hint="eastAsia" w:ascii="仿宋_GB2312" w:hAnsi="宋体" w:eastAsia="仿宋_GB2312"/>
          <w:b w:val="0"/>
          <w:bCs w:val="0"/>
          <w:spacing w:val="-4"/>
          <w:sz w:val="28"/>
          <w:szCs w:val="28"/>
        </w:rPr>
        <w:t>），固定资产净值</w:t>
      </w:r>
      <w:r>
        <w:rPr>
          <w:rStyle w:val="16"/>
          <w:rFonts w:hint="eastAsia" w:ascii="仿宋_GB2312" w:hAnsi="宋体" w:eastAsia="仿宋_GB2312"/>
          <w:b w:val="0"/>
          <w:bCs w:val="0"/>
          <w:spacing w:val="-4"/>
          <w:sz w:val="28"/>
          <w:szCs w:val="28"/>
          <w:lang w:val="en-US" w:eastAsia="zh-CN"/>
        </w:rPr>
        <w:t>9.35</w:t>
      </w:r>
      <w:r>
        <w:rPr>
          <w:rStyle w:val="16"/>
          <w:rFonts w:hint="eastAsia" w:ascii="仿宋_GB2312" w:hAnsi="宋体" w:eastAsia="仿宋_GB2312"/>
          <w:b w:val="0"/>
          <w:bCs w:val="0"/>
          <w:spacing w:val="-4"/>
          <w:sz w:val="28"/>
          <w:szCs w:val="28"/>
        </w:rPr>
        <w:t>万元（其中：土地、房屋及构筑物</w:t>
      </w:r>
      <w:r>
        <w:rPr>
          <w:rStyle w:val="16"/>
          <w:rFonts w:ascii="仿宋_GB2312" w:hAnsi="宋体" w:eastAsia="仿宋_GB2312"/>
          <w:b w:val="0"/>
          <w:bCs w:val="0"/>
          <w:spacing w:val="-4"/>
          <w:sz w:val="28"/>
          <w:szCs w:val="28"/>
        </w:rPr>
        <w:t xml:space="preserve"> </w:t>
      </w:r>
      <w:r>
        <w:rPr>
          <w:rStyle w:val="16"/>
          <w:rFonts w:hint="eastAsia" w:ascii="仿宋_GB2312" w:hAnsi="宋体" w:eastAsia="仿宋_GB2312"/>
          <w:b w:val="0"/>
          <w:bCs w:val="0"/>
          <w:spacing w:val="-4"/>
          <w:sz w:val="28"/>
          <w:szCs w:val="28"/>
          <w:lang w:val="en-US" w:eastAsia="zh-CN"/>
        </w:rPr>
        <w:t>0</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100</w:t>
      </w:r>
      <w:r>
        <w:rPr>
          <w:rStyle w:val="16"/>
          <w:rFonts w:hint="eastAsia" w:ascii="仿宋_GB2312" w:hAnsi="宋体" w:eastAsia="仿宋_GB2312"/>
          <w:b w:val="0"/>
          <w:bCs w:val="0"/>
          <w:spacing w:val="-4"/>
          <w:sz w:val="28"/>
          <w:szCs w:val="28"/>
        </w:rPr>
        <w:t>%；通用设备</w:t>
      </w:r>
      <w:r>
        <w:rPr>
          <w:rStyle w:val="16"/>
          <w:rFonts w:hint="eastAsia" w:ascii="仿宋_GB2312" w:hAnsi="宋体" w:eastAsia="仿宋_GB2312"/>
          <w:b w:val="0"/>
          <w:bCs w:val="0"/>
          <w:spacing w:val="-4"/>
          <w:sz w:val="28"/>
          <w:szCs w:val="28"/>
          <w:lang w:val="en-US" w:eastAsia="zh-CN"/>
        </w:rPr>
        <w:t>9.35</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100</w:t>
      </w:r>
      <w:r>
        <w:rPr>
          <w:rStyle w:val="16"/>
          <w:rFonts w:hint="eastAsia" w:ascii="仿宋_GB2312" w:hAnsi="宋体" w:eastAsia="仿宋_GB2312"/>
          <w:b w:val="0"/>
          <w:bCs w:val="0"/>
          <w:spacing w:val="-4"/>
          <w:sz w:val="28"/>
          <w:szCs w:val="28"/>
        </w:rPr>
        <w:t>%；专用设备</w:t>
      </w:r>
      <w:r>
        <w:rPr>
          <w:rStyle w:val="16"/>
          <w:rFonts w:hint="eastAsia" w:ascii="仿宋_GB2312" w:hAnsi="宋体" w:eastAsia="仿宋_GB2312"/>
          <w:b w:val="0"/>
          <w:bCs w:val="0"/>
          <w:spacing w:val="-4"/>
          <w:sz w:val="28"/>
          <w:szCs w:val="28"/>
          <w:lang w:val="en-US" w:eastAsia="zh-CN"/>
        </w:rPr>
        <w:t>0</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0</w:t>
      </w:r>
      <w:r>
        <w:rPr>
          <w:rStyle w:val="16"/>
          <w:rFonts w:hint="eastAsia" w:ascii="仿宋_GB2312" w:hAnsi="宋体" w:eastAsia="仿宋_GB2312"/>
          <w:b w:val="0"/>
          <w:bCs w:val="0"/>
          <w:spacing w:val="-4"/>
          <w:sz w:val="28"/>
          <w:szCs w:val="28"/>
        </w:rPr>
        <w:t>%；其他）。</w:t>
      </w:r>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本年度流动资产</w:t>
      </w:r>
      <w:r>
        <w:rPr>
          <w:rStyle w:val="16"/>
          <w:rFonts w:hint="eastAsia" w:ascii="仿宋_GB2312" w:hAnsi="宋体" w:eastAsia="仿宋_GB2312"/>
          <w:b w:val="0"/>
          <w:bCs w:val="0"/>
          <w:spacing w:val="-4"/>
          <w:sz w:val="28"/>
          <w:szCs w:val="28"/>
          <w:lang w:val="en-US" w:eastAsia="zh-CN"/>
        </w:rPr>
        <w:t>0</w:t>
      </w:r>
      <w:r>
        <w:rPr>
          <w:rStyle w:val="16"/>
          <w:rFonts w:hint="eastAsia" w:ascii="仿宋_GB2312" w:hAnsi="宋体" w:eastAsia="仿宋_GB2312"/>
          <w:b w:val="0"/>
          <w:bCs w:val="0"/>
          <w:spacing w:val="-4"/>
          <w:sz w:val="28"/>
          <w:szCs w:val="28"/>
        </w:rPr>
        <w:t>万元，比上年增加</w:t>
      </w:r>
      <w:r>
        <w:rPr>
          <w:rStyle w:val="16"/>
          <w:rFonts w:hint="eastAsia" w:ascii="仿宋_GB2312" w:hAnsi="宋体" w:eastAsia="仿宋_GB2312"/>
          <w:b w:val="0"/>
          <w:bCs w:val="0"/>
          <w:spacing w:val="-4"/>
          <w:sz w:val="28"/>
          <w:szCs w:val="28"/>
          <w:lang w:val="en-US" w:eastAsia="zh-CN"/>
        </w:rPr>
        <w:t>0</w:t>
      </w:r>
      <w:r>
        <w:rPr>
          <w:rStyle w:val="16"/>
          <w:rFonts w:hint="eastAsia" w:ascii="仿宋_GB2312" w:hAnsi="宋体" w:eastAsia="仿宋_GB2312"/>
          <w:b w:val="0"/>
          <w:bCs w:val="0"/>
          <w:spacing w:val="-4"/>
          <w:sz w:val="28"/>
          <w:szCs w:val="28"/>
        </w:rPr>
        <w:t>万元，原因是：</w:t>
      </w:r>
      <w:r>
        <w:rPr>
          <w:rStyle w:val="16"/>
          <w:rFonts w:hint="eastAsia" w:ascii="仿宋_GB2312" w:hAnsi="宋体" w:eastAsia="仿宋_GB2312"/>
          <w:b w:val="0"/>
          <w:bCs w:val="0"/>
          <w:spacing w:val="-4"/>
          <w:sz w:val="28"/>
          <w:szCs w:val="28"/>
          <w:lang w:eastAsia="zh-CN"/>
        </w:rPr>
        <w:t>无</w:t>
      </w:r>
      <w:r>
        <w:rPr>
          <w:rStyle w:val="16"/>
          <w:rFonts w:hint="eastAsia" w:ascii="仿宋_GB2312" w:hAnsi="宋体" w:eastAsia="仿宋_GB2312"/>
          <w:b w:val="0"/>
          <w:bCs w:val="0"/>
          <w:spacing w:val="-4"/>
          <w:sz w:val="28"/>
          <w:szCs w:val="28"/>
        </w:rPr>
        <w:t xml:space="preserve"> 。</w:t>
      </w:r>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本年度固定资产</w:t>
      </w:r>
      <w:r>
        <w:rPr>
          <w:rStyle w:val="16"/>
          <w:rFonts w:hint="eastAsia" w:ascii="仿宋_GB2312" w:hAnsi="宋体" w:eastAsia="仿宋_GB2312"/>
          <w:b w:val="0"/>
          <w:bCs w:val="0"/>
          <w:spacing w:val="-4"/>
          <w:sz w:val="28"/>
          <w:szCs w:val="28"/>
          <w:lang w:val="en-US" w:eastAsia="zh-CN"/>
        </w:rPr>
        <w:t>9.35</w:t>
      </w:r>
      <w:r>
        <w:rPr>
          <w:rStyle w:val="16"/>
          <w:rFonts w:hint="eastAsia" w:ascii="仿宋_GB2312" w:hAnsi="宋体" w:eastAsia="仿宋_GB2312"/>
          <w:b w:val="0"/>
          <w:bCs w:val="0"/>
          <w:spacing w:val="-4"/>
          <w:sz w:val="28"/>
          <w:szCs w:val="28"/>
        </w:rPr>
        <w:t>万元，比上年增加</w:t>
      </w:r>
      <w:r>
        <w:rPr>
          <w:rStyle w:val="16"/>
          <w:rFonts w:hint="eastAsia" w:ascii="仿宋_GB2312" w:hAnsi="宋体" w:eastAsia="仿宋_GB2312"/>
          <w:b w:val="0"/>
          <w:bCs w:val="0"/>
          <w:spacing w:val="-4"/>
          <w:sz w:val="28"/>
          <w:szCs w:val="28"/>
          <w:lang w:val="en-US" w:eastAsia="zh-CN"/>
        </w:rPr>
        <w:t>0</w:t>
      </w:r>
      <w:r>
        <w:rPr>
          <w:rStyle w:val="16"/>
          <w:rFonts w:hint="eastAsia" w:ascii="仿宋_GB2312" w:hAnsi="宋体" w:eastAsia="仿宋_GB2312"/>
          <w:b w:val="0"/>
          <w:bCs w:val="0"/>
          <w:spacing w:val="-4"/>
          <w:sz w:val="28"/>
          <w:szCs w:val="28"/>
        </w:rPr>
        <w:t>万元，原因是：</w:t>
      </w:r>
      <w:r>
        <w:rPr>
          <w:rStyle w:val="16"/>
          <w:rFonts w:hint="eastAsia" w:ascii="仿宋_GB2312" w:hAnsi="宋体" w:eastAsia="仿宋_GB2312"/>
          <w:b w:val="0"/>
          <w:bCs w:val="0"/>
          <w:spacing w:val="-4"/>
          <w:sz w:val="28"/>
          <w:szCs w:val="28"/>
          <w:lang w:eastAsia="zh-CN"/>
        </w:rPr>
        <w:t>未采购固定资产</w:t>
      </w:r>
      <w:r>
        <w:rPr>
          <w:rStyle w:val="16"/>
          <w:rFonts w:hint="eastAsia" w:ascii="仿宋_GB2312" w:hAnsi="宋体" w:eastAsia="仿宋_GB2312"/>
          <w:b w:val="0"/>
          <w:bCs w:val="0"/>
          <w:spacing w:val="-4"/>
          <w:sz w:val="28"/>
          <w:szCs w:val="28"/>
        </w:rPr>
        <w:t>。</w:t>
      </w:r>
    </w:p>
    <w:p>
      <w:pPr>
        <w:snapToGrid w:val="0"/>
        <w:spacing w:line="360" w:lineRule="auto"/>
        <w:ind w:firstLine="544" w:firstLineChars="200"/>
        <w:rPr>
          <w:rStyle w:val="16"/>
          <w:rFonts w:ascii="宋体" w:hAnsi="宋体" w:eastAsia="宋体"/>
          <w:bCs w:val="0"/>
          <w:color w:val="FF0000"/>
          <w:spacing w:val="-4"/>
          <w:sz w:val="28"/>
          <w:szCs w:val="28"/>
        </w:rPr>
      </w:pPr>
      <w:r>
        <w:rPr>
          <w:rStyle w:val="16"/>
          <w:rFonts w:hint="eastAsia" w:ascii="仿宋_GB2312" w:hAnsi="宋体" w:eastAsia="仿宋_GB2312"/>
          <w:b w:val="0"/>
          <w:bCs w:val="0"/>
          <w:spacing w:val="-4"/>
          <w:sz w:val="28"/>
          <w:szCs w:val="28"/>
        </w:rPr>
        <w:t>实际在用固定资产</w:t>
      </w:r>
      <w:r>
        <w:rPr>
          <w:rStyle w:val="16"/>
          <w:rFonts w:hint="eastAsia" w:ascii="仿宋_GB2312" w:hAnsi="宋体" w:eastAsia="仿宋_GB2312"/>
          <w:b w:val="0"/>
          <w:bCs w:val="0"/>
          <w:spacing w:val="-4"/>
          <w:sz w:val="28"/>
          <w:szCs w:val="28"/>
          <w:lang w:val="en-US" w:eastAsia="zh-CN"/>
        </w:rPr>
        <w:t>9.35</w:t>
      </w:r>
      <w:r>
        <w:rPr>
          <w:rStyle w:val="16"/>
          <w:rFonts w:hint="eastAsia" w:ascii="仿宋_GB2312" w:hAnsi="宋体" w:eastAsia="仿宋_GB2312"/>
          <w:b w:val="0"/>
          <w:bCs w:val="0"/>
          <w:spacing w:val="-4"/>
          <w:sz w:val="28"/>
          <w:szCs w:val="28"/>
        </w:rPr>
        <w:t>万元，固定资产利用率</w:t>
      </w:r>
      <w:r>
        <w:rPr>
          <w:rStyle w:val="16"/>
          <w:rFonts w:hint="eastAsia" w:ascii="仿宋_GB2312" w:hAnsi="宋体" w:eastAsia="仿宋_GB2312"/>
          <w:b w:val="0"/>
          <w:bCs w:val="0"/>
          <w:spacing w:val="-4"/>
          <w:sz w:val="28"/>
          <w:szCs w:val="28"/>
          <w:lang w:val="en-US" w:eastAsia="zh-CN"/>
        </w:rPr>
        <w:t>100</w:t>
      </w:r>
      <w:r>
        <w:rPr>
          <w:rStyle w:val="16"/>
          <w:rFonts w:hint="eastAsia" w:ascii="仿宋_GB2312" w:hAnsi="宋体" w:eastAsia="仿宋_GB2312"/>
          <w:b w:val="0"/>
          <w:bCs w:val="0"/>
          <w:spacing w:val="-4"/>
          <w:sz w:val="28"/>
          <w:szCs w:val="28"/>
        </w:rPr>
        <w:t>%。</w:t>
      </w:r>
    </w:p>
    <w:p>
      <w:pPr>
        <w:pStyle w:val="4"/>
        <w:spacing w:line="360" w:lineRule="auto"/>
        <w:rPr>
          <w:rStyle w:val="16"/>
          <w:rFonts w:ascii="仿宋" w:hAnsi="仿宋" w:eastAsia="仿宋"/>
          <w:b/>
          <w:bCs/>
        </w:rPr>
      </w:pPr>
      <w:bookmarkStart w:id="22" w:name="_Toc70450312"/>
      <w:r>
        <w:rPr>
          <w:rStyle w:val="16"/>
          <w:rFonts w:hint="eastAsia" w:ascii="仿宋" w:hAnsi="仿宋" w:eastAsia="仿宋"/>
          <w:b/>
          <w:bCs/>
        </w:rPr>
        <w:t>（二）资产管理情况</w:t>
      </w:r>
      <w:bookmarkEnd w:id="22"/>
    </w:p>
    <w:p>
      <w:pPr>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6"/>
          <w:rFonts w:hint="eastAsia"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snapToGrid w:val="0"/>
        <w:spacing w:line="360" w:lineRule="auto"/>
        <w:ind w:firstLine="544" w:firstLineChars="200"/>
        <w:rPr>
          <w:rStyle w:val="16"/>
          <w:rFonts w:ascii="仿宋_GB2312" w:hAnsi="宋体" w:eastAsia="仿宋_GB2312"/>
          <w:b w:val="0"/>
          <w:spacing w:val="-4"/>
          <w:sz w:val="28"/>
          <w:szCs w:val="28"/>
        </w:rPr>
      </w:pPr>
    </w:p>
    <w:p>
      <w:pPr>
        <w:pStyle w:val="3"/>
        <w:spacing w:line="360" w:lineRule="auto"/>
        <w:rPr>
          <w:rFonts w:ascii="仿宋" w:hAnsi="仿宋" w:eastAsia="仿宋"/>
          <w:sz w:val="36"/>
          <w:szCs w:val="36"/>
          <w:lang w:bidi="ar"/>
        </w:rPr>
      </w:pPr>
      <w:bookmarkStart w:id="23" w:name="_Toc70450313"/>
      <w:r>
        <w:rPr>
          <w:rFonts w:hint="eastAsia" w:ascii="仿宋" w:hAnsi="仿宋" w:eastAsia="仿宋"/>
          <w:sz w:val="36"/>
          <w:szCs w:val="36"/>
          <w:lang w:bidi="ar"/>
        </w:rPr>
        <w:t>五、部门单位整体支出绩效情况</w:t>
      </w:r>
      <w:bookmarkEnd w:id="23"/>
    </w:p>
    <w:p>
      <w:pPr>
        <w:pStyle w:val="4"/>
        <w:spacing w:line="360" w:lineRule="auto"/>
        <w:ind w:firstLine="643" w:firstLineChars="200"/>
        <w:rPr>
          <w:rStyle w:val="16"/>
          <w:rFonts w:ascii="仿宋" w:hAnsi="仿宋" w:eastAsia="仿宋"/>
          <w:b/>
          <w:bCs/>
        </w:rPr>
      </w:pPr>
      <w:bookmarkStart w:id="24" w:name="_Toc70450314"/>
      <w:r>
        <w:rPr>
          <w:rStyle w:val="16"/>
          <w:rFonts w:hint="eastAsia" w:ascii="仿宋" w:hAnsi="仿宋" w:eastAsia="仿宋"/>
          <w:b/>
          <w:bCs/>
        </w:rPr>
        <w:t>（一）经济效益评价</w:t>
      </w:r>
      <w:bookmarkEnd w:id="24"/>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年度我单位年初预算安排</w:t>
      </w:r>
      <w:r>
        <w:rPr>
          <w:rStyle w:val="16"/>
          <w:rFonts w:ascii="仿宋_GB2312" w:hAnsi="宋体" w:eastAsia="仿宋_GB2312"/>
          <w:b w:val="0"/>
          <w:bCs w:val="0"/>
          <w:spacing w:val="-4"/>
          <w:sz w:val="28"/>
          <w:szCs w:val="28"/>
        </w:rPr>
        <w:t xml:space="preserve"> </w:t>
      </w:r>
      <w:r>
        <w:rPr>
          <w:rStyle w:val="16"/>
          <w:rFonts w:hint="eastAsia" w:ascii="仿宋_GB2312" w:hAnsi="宋体" w:eastAsia="仿宋_GB2312"/>
          <w:b w:val="0"/>
          <w:bCs w:val="0"/>
          <w:spacing w:val="-4"/>
          <w:sz w:val="28"/>
          <w:szCs w:val="28"/>
          <w:lang w:val="en-US" w:eastAsia="zh-CN"/>
        </w:rPr>
        <w:t>33.70</w:t>
      </w:r>
      <w:r>
        <w:rPr>
          <w:rStyle w:val="16"/>
          <w:rFonts w:hint="eastAsia" w:ascii="仿宋_GB2312" w:hAnsi="宋体" w:eastAsia="仿宋_GB2312"/>
          <w:b w:val="0"/>
          <w:bCs w:val="0"/>
          <w:spacing w:val="-4"/>
          <w:sz w:val="28"/>
          <w:szCs w:val="28"/>
        </w:rPr>
        <w:t>万元，年中调整</w:t>
      </w:r>
      <w:r>
        <w:rPr>
          <w:rStyle w:val="16"/>
          <w:rFonts w:hint="eastAsia" w:ascii="仿宋_GB2312" w:hAnsi="宋体" w:eastAsia="仿宋_GB2312"/>
          <w:b w:val="0"/>
          <w:bCs w:val="0"/>
          <w:spacing w:val="-4"/>
          <w:sz w:val="28"/>
          <w:szCs w:val="28"/>
          <w:lang w:val="en-US" w:eastAsia="zh-CN"/>
        </w:rPr>
        <w:t>2.94</w:t>
      </w:r>
      <w:r>
        <w:rPr>
          <w:rStyle w:val="16"/>
          <w:rFonts w:hint="eastAsia" w:ascii="仿宋_GB2312" w:hAnsi="宋体" w:eastAsia="仿宋_GB2312"/>
          <w:b w:val="0"/>
          <w:bCs w:val="0"/>
          <w:spacing w:val="-4"/>
          <w:sz w:val="28"/>
          <w:szCs w:val="28"/>
        </w:rPr>
        <w:t>万元，截止12月底支出</w:t>
      </w:r>
      <w:r>
        <w:rPr>
          <w:rStyle w:val="16"/>
          <w:rFonts w:ascii="仿宋_GB2312" w:hAnsi="宋体" w:eastAsia="仿宋_GB2312"/>
          <w:b w:val="0"/>
          <w:bCs w:val="0"/>
          <w:spacing w:val="-4"/>
          <w:sz w:val="28"/>
          <w:szCs w:val="28"/>
        </w:rPr>
        <w:t xml:space="preserve"> </w:t>
      </w:r>
      <w:r>
        <w:rPr>
          <w:rStyle w:val="16"/>
          <w:rFonts w:hint="eastAsia" w:ascii="仿宋_GB2312" w:hAnsi="宋体" w:eastAsia="仿宋_GB2312"/>
          <w:b w:val="0"/>
          <w:bCs w:val="0"/>
          <w:spacing w:val="-4"/>
          <w:sz w:val="28"/>
          <w:szCs w:val="28"/>
          <w:lang w:val="en-US" w:eastAsia="zh-CN"/>
        </w:rPr>
        <w:t>36.64</w:t>
      </w:r>
      <w:r>
        <w:rPr>
          <w:rStyle w:val="16"/>
          <w:rFonts w:hint="eastAsia" w:ascii="仿宋_GB2312" w:hAnsi="宋体" w:eastAsia="仿宋_GB2312"/>
          <w:b w:val="0"/>
          <w:bCs w:val="0"/>
          <w:spacing w:val="-4"/>
          <w:sz w:val="28"/>
          <w:szCs w:val="28"/>
        </w:rPr>
        <w:t>万元，执行率</w:t>
      </w:r>
      <w:r>
        <w:rPr>
          <w:rStyle w:val="16"/>
          <w:rFonts w:hint="eastAsia" w:ascii="仿宋_GB2312" w:hAnsi="宋体" w:eastAsia="仿宋_GB2312"/>
          <w:b w:val="0"/>
          <w:bCs w:val="0"/>
          <w:spacing w:val="-4"/>
          <w:sz w:val="28"/>
          <w:szCs w:val="28"/>
          <w:lang w:val="en-US" w:eastAsia="zh-CN"/>
        </w:rPr>
        <w:t>100</w:t>
      </w:r>
      <w:r>
        <w:rPr>
          <w:rStyle w:val="16"/>
          <w:rFonts w:hint="eastAsia" w:ascii="仿宋_GB2312" w:hAnsi="宋体" w:eastAsia="仿宋_GB2312"/>
          <w:b w:val="0"/>
          <w:bCs w:val="0"/>
          <w:spacing w:val="-4"/>
          <w:sz w:val="28"/>
          <w:szCs w:val="28"/>
        </w:rPr>
        <w:t>%。</w:t>
      </w:r>
    </w:p>
    <w:p>
      <w:pPr>
        <w:spacing w:line="360" w:lineRule="auto"/>
        <w:ind w:firstLine="544" w:firstLineChars="200"/>
        <w:rPr>
          <w:rStyle w:val="16"/>
          <w:rFonts w:ascii="仿宋_GB2312" w:hAnsi="宋体" w:eastAsia="仿宋_GB2312"/>
          <w:b w:val="0"/>
          <w:bCs w:val="0"/>
          <w:spacing w:val="-4"/>
          <w:sz w:val="28"/>
          <w:szCs w:val="28"/>
        </w:rPr>
      </w:pPr>
      <w:r>
        <w:rPr>
          <w:rStyle w:val="16"/>
          <w:rFonts w:ascii="仿宋_GB2312" w:hAnsi="宋体" w:eastAsia="仿宋_GB2312"/>
          <w:b w:val="0"/>
          <w:bCs w:val="0"/>
          <w:spacing w:val="-4"/>
          <w:sz w:val="28"/>
          <w:szCs w:val="28"/>
        </w:rPr>
        <w:t>1</w:t>
      </w:r>
      <w:r>
        <w:rPr>
          <w:rStyle w:val="16"/>
          <w:rFonts w:hint="eastAsia" w:ascii="仿宋_GB2312" w:hAnsi="宋体" w:eastAsia="仿宋_GB2312"/>
          <w:b w:val="0"/>
          <w:bCs w:val="0"/>
          <w:spacing w:val="-4"/>
          <w:sz w:val="28"/>
          <w:szCs w:val="28"/>
        </w:rPr>
        <w:t>、预算资金执行过程中均按照年初预算分配情况均做到专款专用，未出现资金侵、挪占情况。</w:t>
      </w:r>
    </w:p>
    <w:p>
      <w:pPr>
        <w:spacing w:line="360" w:lineRule="auto"/>
        <w:ind w:firstLine="544" w:firstLineChars="200"/>
        <w:rPr>
          <w:rStyle w:val="16"/>
          <w:rFonts w:ascii="仿宋_GB2312" w:hAnsi="宋体" w:eastAsia="仿宋_GB2312"/>
          <w:b w:val="0"/>
          <w:bCs w:val="0"/>
          <w:spacing w:val="-4"/>
          <w:sz w:val="28"/>
          <w:szCs w:val="28"/>
        </w:rPr>
      </w:pPr>
      <w:r>
        <w:rPr>
          <w:rStyle w:val="16"/>
          <w:rFonts w:ascii="仿宋_GB2312" w:hAnsi="宋体" w:eastAsia="仿宋_GB2312"/>
          <w:b w:val="0"/>
          <w:bCs w:val="0"/>
          <w:spacing w:val="-4"/>
          <w:sz w:val="28"/>
          <w:szCs w:val="28"/>
        </w:rPr>
        <w:t>2</w:t>
      </w:r>
      <w:r>
        <w:rPr>
          <w:rStyle w:val="16"/>
          <w:rFonts w:hint="eastAsia" w:ascii="仿宋_GB2312" w:hAnsi="宋体" w:eastAsia="仿宋_GB2312"/>
          <w:b w:val="0"/>
          <w:bCs w:val="0"/>
          <w:spacing w:val="-4"/>
          <w:sz w:val="28"/>
          <w:szCs w:val="28"/>
        </w:rPr>
        <w:t>、全年按照部门预算进行成本控制，全部控制在厉行节约指标数内。其他支出按财政部门下达的计划实施，全年没有项目超支（若有超支请详细说明情况）。</w:t>
      </w:r>
    </w:p>
    <w:p>
      <w:pPr>
        <w:pStyle w:val="4"/>
        <w:spacing w:line="360" w:lineRule="auto"/>
        <w:ind w:firstLine="643" w:firstLineChars="200"/>
        <w:rPr>
          <w:rStyle w:val="16"/>
          <w:rFonts w:ascii="仿宋" w:hAnsi="仿宋" w:eastAsia="仿宋"/>
          <w:b/>
          <w:bCs/>
        </w:rPr>
      </w:pPr>
      <w:bookmarkStart w:id="25" w:name="_Toc70450315"/>
      <w:r>
        <w:rPr>
          <w:rStyle w:val="16"/>
          <w:rFonts w:hint="eastAsia" w:ascii="仿宋" w:hAnsi="仿宋" w:eastAsia="仿宋"/>
          <w:b/>
          <w:bCs/>
        </w:rPr>
        <w:t>（二）效率性评价</w:t>
      </w:r>
      <w:bookmarkEnd w:id="25"/>
    </w:p>
    <w:p>
      <w:pPr>
        <w:spacing w:line="360" w:lineRule="auto"/>
        <w:ind w:firstLine="544" w:firstLineChars="200"/>
        <w:rPr>
          <w:rStyle w:val="16"/>
          <w:rFonts w:hint="eastAsia" w:ascii="仿宋_GB2312" w:hAnsi="宋体" w:eastAsia="仿宋_GB2312"/>
          <w:b w:val="0"/>
          <w:bCs w:val="0"/>
          <w:spacing w:val="-4"/>
          <w:sz w:val="28"/>
          <w:szCs w:val="28"/>
          <w:highlight w:val="yellow"/>
        </w:rPr>
      </w:pPr>
      <w:bookmarkStart w:id="30" w:name="_GoBack"/>
      <w:r>
        <w:rPr>
          <w:rStyle w:val="16"/>
          <w:rFonts w:hint="eastAsia" w:ascii="仿宋_GB2312" w:hAnsi="宋体" w:eastAsia="仿宋_GB2312"/>
          <w:b w:val="0"/>
          <w:bCs w:val="0"/>
          <w:spacing w:val="-4"/>
          <w:sz w:val="28"/>
          <w:szCs w:val="28"/>
          <w:highlight w:val="none"/>
        </w:rPr>
        <w:t>202</w:t>
      </w:r>
      <w:r>
        <w:rPr>
          <w:rStyle w:val="16"/>
          <w:rFonts w:hint="eastAsia" w:ascii="仿宋_GB2312" w:hAnsi="宋体" w:eastAsia="仿宋_GB2312"/>
          <w:b w:val="0"/>
          <w:bCs w:val="0"/>
          <w:spacing w:val="-4"/>
          <w:sz w:val="28"/>
          <w:szCs w:val="28"/>
          <w:highlight w:val="none"/>
          <w:lang w:val="en-US" w:eastAsia="zh-CN"/>
        </w:rPr>
        <w:t>1</w:t>
      </w:r>
      <w:r>
        <w:rPr>
          <w:rStyle w:val="16"/>
          <w:rFonts w:hint="eastAsia" w:ascii="仿宋_GB2312" w:hAnsi="宋体" w:eastAsia="仿宋_GB2312"/>
          <w:b w:val="0"/>
          <w:bCs w:val="0"/>
          <w:spacing w:val="-4"/>
          <w:sz w:val="28"/>
          <w:szCs w:val="28"/>
          <w:highlight w:val="none"/>
        </w:rPr>
        <w:t>年，在</w:t>
      </w:r>
      <w:r>
        <w:rPr>
          <w:rStyle w:val="16"/>
          <w:rFonts w:hint="eastAsia" w:ascii="仿宋_GB2312" w:hAnsi="宋体" w:eastAsia="仿宋_GB2312"/>
          <w:b w:val="0"/>
          <w:bCs w:val="0"/>
          <w:spacing w:val="-4"/>
          <w:sz w:val="28"/>
          <w:szCs w:val="28"/>
          <w:highlight w:val="none"/>
          <w:lang w:val="en-US" w:eastAsia="zh-CN"/>
        </w:rPr>
        <w:t>县委政府</w:t>
      </w:r>
      <w:r>
        <w:rPr>
          <w:rStyle w:val="16"/>
          <w:rFonts w:hint="eastAsia" w:ascii="仿宋_GB2312" w:hAnsi="宋体" w:eastAsia="仿宋_GB2312"/>
          <w:b w:val="0"/>
          <w:bCs w:val="0"/>
          <w:spacing w:val="-4"/>
          <w:sz w:val="28"/>
          <w:szCs w:val="28"/>
          <w:highlight w:val="none"/>
        </w:rPr>
        <w:t>的大力支持和正确领导下，我</w:t>
      </w:r>
      <w:r>
        <w:rPr>
          <w:rStyle w:val="16"/>
          <w:rFonts w:hint="eastAsia" w:ascii="仿宋_GB2312" w:hAnsi="楷体" w:eastAsia="仿宋_GB2312"/>
          <w:b w:val="0"/>
          <w:spacing w:val="-4"/>
          <w:sz w:val="28"/>
          <w:szCs w:val="28"/>
          <w:highlight w:val="none"/>
          <w:lang w:val="en-US" w:eastAsia="zh-CN"/>
        </w:rPr>
        <w:t>单位</w:t>
      </w:r>
      <w:r>
        <w:rPr>
          <w:rStyle w:val="16"/>
          <w:rFonts w:hint="eastAsia" w:ascii="仿宋_GB2312" w:hAnsi="宋体" w:eastAsia="仿宋_GB2312"/>
          <w:b w:val="0"/>
          <w:bCs w:val="0"/>
          <w:spacing w:val="-4"/>
          <w:sz w:val="28"/>
          <w:szCs w:val="28"/>
          <w:highlight w:val="none"/>
        </w:rPr>
        <w:t>迎难而上、务实重干，积极推动各项</w:t>
      </w:r>
      <w:r>
        <w:rPr>
          <w:rStyle w:val="16"/>
          <w:rFonts w:hint="eastAsia" w:ascii="仿宋_GB2312" w:hAnsi="宋体" w:eastAsia="仿宋_GB2312"/>
          <w:b w:val="0"/>
          <w:bCs w:val="0"/>
          <w:spacing w:val="-4"/>
          <w:sz w:val="28"/>
          <w:szCs w:val="28"/>
          <w:highlight w:val="none"/>
          <w:lang w:val="en-US" w:eastAsia="zh-CN"/>
        </w:rPr>
        <w:t>财务</w:t>
      </w:r>
      <w:r>
        <w:rPr>
          <w:rStyle w:val="16"/>
          <w:rFonts w:hint="eastAsia" w:ascii="仿宋_GB2312" w:hAnsi="宋体" w:eastAsia="仿宋_GB2312"/>
          <w:b w:val="0"/>
          <w:bCs w:val="0"/>
          <w:spacing w:val="-4"/>
          <w:sz w:val="28"/>
          <w:szCs w:val="28"/>
          <w:highlight w:val="none"/>
        </w:rPr>
        <w:t>工作取得了新的进展，为促进经济持续健康发展与社会和谐稳定提供了有力的支撑和保障。</w:t>
      </w:r>
      <w:bookmarkEnd w:id="30"/>
    </w:p>
    <w:p>
      <w:pPr>
        <w:spacing w:line="360" w:lineRule="auto"/>
        <w:ind w:firstLine="544" w:firstLineChars="200"/>
        <w:rPr>
          <w:rStyle w:val="16"/>
          <w:rFonts w:hint="eastAsia" w:ascii="仿宋_GB2312" w:hAnsi="宋体" w:eastAsia="仿宋_GB2312"/>
          <w:b w:val="0"/>
          <w:bCs w:val="0"/>
          <w:spacing w:val="-4"/>
          <w:sz w:val="28"/>
          <w:szCs w:val="28"/>
          <w:lang w:eastAsia="zh-CN"/>
        </w:rPr>
      </w:pPr>
      <w:bookmarkStart w:id="26" w:name="_Toc70450316"/>
      <w:r>
        <w:rPr>
          <w:rStyle w:val="16"/>
          <w:rFonts w:hint="eastAsia" w:ascii="仿宋_GB2312" w:hAnsi="宋体" w:eastAsia="仿宋_GB2312"/>
          <w:b w:val="0"/>
          <w:bCs w:val="0"/>
          <w:spacing w:val="-4"/>
          <w:sz w:val="28"/>
          <w:szCs w:val="28"/>
        </w:rPr>
        <w:t>1、圆满完成</w:t>
      </w:r>
      <w:r>
        <w:rPr>
          <w:rStyle w:val="16"/>
          <w:rFonts w:hint="eastAsia" w:ascii="仿宋_GB2312" w:hAnsi="宋体" w:eastAsia="仿宋_GB2312"/>
          <w:b w:val="0"/>
          <w:bCs w:val="0"/>
          <w:spacing w:val="-4"/>
          <w:sz w:val="28"/>
          <w:szCs w:val="28"/>
          <w:lang w:eastAsia="zh-CN"/>
        </w:rPr>
        <w:t>本单位人员工资发放、社保缴纳、公用经费支出等</w:t>
      </w:r>
      <w:r>
        <w:rPr>
          <w:rStyle w:val="16"/>
          <w:rFonts w:hint="eastAsia" w:ascii="仿宋_GB2312" w:hAnsi="宋体" w:eastAsia="仿宋_GB2312"/>
          <w:b w:val="0"/>
          <w:bCs w:val="0"/>
          <w:spacing w:val="-4"/>
          <w:sz w:val="28"/>
          <w:szCs w:val="28"/>
        </w:rPr>
        <w:t>工作</w:t>
      </w:r>
      <w:r>
        <w:rPr>
          <w:rStyle w:val="16"/>
          <w:rFonts w:hint="eastAsia" w:ascii="仿宋_GB2312" w:hAnsi="宋体" w:eastAsia="仿宋_GB2312"/>
          <w:b w:val="0"/>
          <w:bCs w:val="0"/>
          <w:spacing w:val="-4"/>
          <w:sz w:val="28"/>
          <w:szCs w:val="28"/>
          <w:lang w:eastAsia="zh-CN"/>
        </w:rPr>
        <w:t>。</w:t>
      </w:r>
    </w:p>
    <w:p>
      <w:pPr>
        <w:numPr>
          <w:ilvl w:val="0"/>
          <w:numId w:val="0"/>
        </w:numPr>
        <w:ind w:firstLine="544" w:firstLineChars="200"/>
        <w:rPr>
          <w:rStyle w:val="16"/>
          <w:rFonts w:ascii="仿宋_GB2312" w:hAnsi="宋体" w:eastAsia="仿宋_GB2312"/>
          <w:b w:val="0"/>
          <w:bCs w:val="0"/>
          <w:spacing w:val="-4"/>
          <w:sz w:val="28"/>
          <w:szCs w:val="28"/>
        </w:rPr>
      </w:pPr>
      <w:r>
        <w:rPr>
          <w:rStyle w:val="16"/>
          <w:rFonts w:ascii="仿宋_GB2312" w:hAnsi="宋体" w:eastAsia="仿宋_GB2312"/>
          <w:b w:val="0"/>
          <w:bCs w:val="0"/>
          <w:spacing w:val="-4"/>
          <w:sz w:val="28"/>
          <w:szCs w:val="28"/>
        </w:rPr>
        <w:t>2</w:t>
      </w:r>
      <w:r>
        <w:rPr>
          <w:rStyle w:val="16"/>
          <w:rFonts w:hint="eastAsia" w:ascii="仿宋_GB2312" w:hAnsi="宋体" w:eastAsia="仿宋_GB2312"/>
          <w:b w:val="0"/>
          <w:bCs w:val="0"/>
          <w:spacing w:val="-4"/>
          <w:sz w:val="28"/>
          <w:szCs w:val="28"/>
        </w:rPr>
        <w:t>、</w:t>
      </w:r>
      <w:r>
        <w:rPr>
          <w:rFonts w:hint="eastAsia" w:ascii="仿宋" w:hAnsi="仿宋" w:eastAsia="仿宋" w:cs="宋体"/>
          <w:kern w:val="0"/>
          <w:sz w:val="28"/>
          <w:szCs w:val="28"/>
          <w:lang w:val="zh-CN"/>
        </w:rPr>
        <w:t>依法公开的采购要求、采购机会等信息，将其中的商业机会公开透明地给予所有潜在的供应商，做到计划、流程、结果等全过程信息按规范统一的格式在指定的媒体上及时发布，提高公众对政府采购的知情权和采购效率。</w:t>
      </w:r>
    </w:p>
    <w:p>
      <w:pPr>
        <w:pStyle w:val="20"/>
        <w:numPr>
          <w:ilvl w:val="0"/>
          <w:numId w:val="3"/>
        </w:numPr>
        <w:tabs>
          <w:tab w:val="left" w:pos="312"/>
        </w:tabs>
        <w:spacing w:line="360" w:lineRule="auto"/>
        <w:ind w:firstLine="544"/>
        <w:jc w:val="left"/>
        <w:rPr>
          <w:rStyle w:val="16"/>
          <w:rFonts w:ascii="仿宋_GB2312" w:hAnsi="宋体" w:eastAsia="仿宋_GB2312"/>
          <w:b w:val="0"/>
          <w:bCs w:val="0"/>
          <w:spacing w:val="-4"/>
          <w:sz w:val="28"/>
          <w:szCs w:val="28"/>
        </w:rPr>
      </w:pPr>
      <w:r>
        <w:rPr>
          <w:rFonts w:hint="eastAsia" w:ascii="仿宋_GB2312" w:hAnsi="仿宋_GB2312" w:eastAsia="仿宋_GB2312" w:cs="仿宋_GB2312"/>
          <w:sz w:val="28"/>
          <w:szCs w:val="28"/>
        </w:rPr>
        <w:t>政采云平台供应商入驻，审核上传商品</w:t>
      </w:r>
      <w:r>
        <w:rPr>
          <w:rStyle w:val="16"/>
          <w:rFonts w:hint="eastAsia" w:ascii="仿宋_GB2312" w:hAnsi="宋体" w:eastAsia="仿宋_GB2312"/>
          <w:b w:val="0"/>
          <w:bCs w:val="0"/>
          <w:spacing w:val="-4"/>
          <w:sz w:val="28"/>
          <w:szCs w:val="28"/>
        </w:rPr>
        <w:t>成效显著</w:t>
      </w:r>
      <w:r>
        <w:rPr>
          <w:rStyle w:val="16"/>
          <w:rFonts w:hint="eastAsia" w:ascii="仿宋_GB2312" w:hAnsi="宋体" w:eastAsia="仿宋_GB2312"/>
          <w:b w:val="0"/>
          <w:bCs w:val="0"/>
          <w:spacing w:val="-4"/>
          <w:sz w:val="28"/>
          <w:szCs w:val="28"/>
          <w:lang w:eastAsia="zh-CN"/>
        </w:rPr>
        <w:t>。</w:t>
      </w:r>
    </w:p>
    <w:p>
      <w:pPr>
        <w:pStyle w:val="20"/>
        <w:numPr>
          <w:ilvl w:val="0"/>
          <w:numId w:val="3"/>
        </w:numPr>
        <w:tabs>
          <w:tab w:val="left" w:pos="312"/>
        </w:tabs>
        <w:spacing w:line="360" w:lineRule="auto"/>
        <w:ind w:firstLine="544"/>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lang w:eastAsia="zh-CN"/>
        </w:rPr>
        <w:t>政府采购工作</w:t>
      </w:r>
      <w:r>
        <w:rPr>
          <w:rStyle w:val="16"/>
          <w:rFonts w:hint="eastAsia" w:ascii="仿宋_GB2312" w:hAnsi="宋体" w:eastAsia="仿宋_GB2312"/>
          <w:b w:val="0"/>
          <w:bCs w:val="0"/>
          <w:spacing w:val="-4"/>
          <w:sz w:val="28"/>
          <w:szCs w:val="28"/>
        </w:rPr>
        <w:t>全面达标，群众满意度高</w:t>
      </w:r>
      <w:r>
        <w:rPr>
          <w:rStyle w:val="16"/>
          <w:rFonts w:hint="eastAsia" w:ascii="仿宋_GB2312" w:hAnsi="宋体" w:eastAsia="仿宋_GB2312"/>
          <w:b w:val="0"/>
          <w:bCs w:val="0"/>
          <w:spacing w:val="-4"/>
          <w:sz w:val="28"/>
          <w:szCs w:val="28"/>
          <w:lang w:eastAsia="zh-CN"/>
        </w:rPr>
        <w:t>。</w:t>
      </w:r>
    </w:p>
    <w:p>
      <w:pPr>
        <w:pStyle w:val="4"/>
        <w:spacing w:line="360" w:lineRule="auto"/>
        <w:ind w:firstLine="643" w:firstLineChars="200"/>
        <w:rPr>
          <w:rStyle w:val="16"/>
          <w:rFonts w:hint="eastAsia" w:ascii="仿宋" w:hAnsi="仿宋" w:eastAsia="仿宋"/>
          <w:b/>
          <w:bCs/>
        </w:rPr>
      </w:pPr>
      <w:r>
        <w:rPr>
          <w:rStyle w:val="16"/>
          <w:rFonts w:hint="eastAsia" w:ascii="仿宋" w:hAnsi="仿宋" w:eastAsia="仿宋"/>
          <w:b/>
          <w:bCs/>
          <w:lang w:eastAsia="zh-CN"/>
        </w:rPr>
        <w:t>（</w:t>
      </w:r>
      <w:r>
        <w:rPr>
          <w:rStyle w:val="16"/>
          <w:rFonts w:hint="eastAsia" w:ascii="仿宋" w:hAnsi="仿宋" w:eastAsia="仿宋"/>
          <w:b/>
          <w:bCs/>
          <w:lang w:val="en-US" w:eastAsia="zh-CN"/>
        </w:rPr>
        <w:t>三</w:t>
      </w:r>
      <w:r>
        <w:rPr>
          <w:rStyle w:val="16"/>
          <w:rFonts w:hint="eastAsia" w:ascii="仿宋" w:hAnsi="仿宋" w:eastAsia="仿宋"/>
          <w:b/>
          <w:bCs/>
          <w:lang w:eastAsia="zh-CN"/>
        </w:rPr>
        <w:t>）</w:t>
      </w:r>
      <w:r>
        <w:rPr>
          <w:rStyle w:val="16"/>
          <w:rFonts w:hint="eastAsia" w:ascii="仿宋" w:hAnsi="仿宋" w:eastAsia="仿宋"/>
          <w:b/>
          <w:bCs/>
        </w:rPr>
        <w:t>有效性评价</w:t>
      </w:r>
      <w:bookmarkEnd w:id="26"/>
    </w:p>
    <w:p>
      <w:pPr>
        <w:pStyle w:val="12"/>
        <w:widowControl/>
        <w:spacing w:before="40" w:beforeAutospacing="0" w:after="0" w:afterAutospacing="0" w:line="520" w:lineRule="atLeast"/>
        <w:ind w:firstLine="520"/>
        <w:jc w:val="both"/>
        <w:rPr>
          <w:rStyle w:val="16"/>
          <w:rFonts w:hint="eastAsia" w:ascii="仿宋_GB2312" w:hAnsi="宋体" w:eastAsia="仿宋_GB2312"/>
          <w:b w:val="0"/>
          <w:bCs w:val="0"/>
          <w:color w:val="auto"/>
          <w:spacing w:val="-4"/>
          <w:sz w:val="28"/>
          <w:szCs w:val="28"/>
        </w:rPr>
      </w:pPr>
      <w:r>
        <w:rPr>
          <w:rStyle w:val="16"/>
          <w:rFonts w:hint="eastAsia" w:ascii="仿宋_GB2312" w:hAnsi="宋体" w:eastAsia="仿宋_GB2312"/>
          <w:b w:val="0"/>
          <w:bCs w:val="0"/>
          <w:color w:val="auto"/>
          <w:spacing w:val="-4"/>
          <w:sz w:val="28"/>
          <w:szCs w:val="28"/>
        </w:rPr>
        <w:t>202</w:t>
      </w:r>
      <w:r>
        <w:rPr>
          <w:rStyle w:val="16"/>
          <w:rFonts w:hint="eastAsia" w:ascii="仿宋_GB2312" w:hAnsi="宋体" w:eastAsia="仿宋_GB2312"/>
          <w:b w:val="0"/>
          <w:bCs w:val="0"/>
          <w:color w:val="auto"/>
          <w:spacing w:val="-4"/>
          <w:sz w:val="28"/>
          <w:szCs w:val="28"/>
          <w:lang w:val="en-US" w:eastAsia="zh-CN"/>
        </w:rPr>
        <w:t>1</w:t>
      </w:r>
      <w:r>
        <w:rPr>
          <w:rStyle w:val="16"/>
          <w:rFonts w:hint="eastAsia" w:ascii="仿宋_GB2312" w:hAnsi="宋体" w:eastAsia="仿宋_GB2312"/>
          <w:b w:val="0"/>
          <w:bCs w:val="0"/>
          <w:color w:val="auto"/>
          <w:spacing w:val="-4"/>
          <w:sz w:val="28"/>
          <w:szCs w:val="28"/>
        </w:rPr>
        <w:t>年部门支出的有效性主要体现在我单位各项工作成效上，我局基本经费中人员经费支出、公用支出严格执行政府的各项制度，保障全局工作正常运转，三公经费的使用严格控制在预算申报的范围内；在项目经费的使用上，在保证各项任务顺利完成的同时，严格落实厉行节约的原则。</w:t>
      </w:r>
    </w:p>
    <w:p/>
    <w:p>
      <w:pPr>
        <w:snapToGrid w:val="0"/>
        <w:spacing w:line="360" w:lineRule="auto"/>
        <w:ind w:firstLine="544" w:firstLineChars="200"/>
        <w:rPr>
          <w:rStyle w:val="16"/>
          <w:rFonts w:ascii="仿宋_GB2312" w:hAnsi="宋体" w:eastAsia="仿宋_GB2312"/>
          <w:b w:val="0"/>
          <w:bCs w:val="0"/>
          <w:color w:val="FF0000"/>
          <w:spacing w:val="-4"/>
          <w:sz w:val="28"/>
          <w:szCs w:val="28"/>
        </w:rPr>
      </w:pPr>
      <w:r>
        <w:rPr>
          <w:rStyle w:val="16"/>
          <w:rFonts w:hint="eastAsia" w:ascii="仿宋_GB2312" w:eastAsia="仿宋_GB2312" w:hAnsiTheme="minorEastAsia"/>
          <w:b w:val="0"/>
          <w:spacing w:val="-4"/>
          <w:sz w:val="28"/>
          <w:szCs w:val="28"/>
          <w:lang w:eastAsia="zh-CN"/>
        </w:rPr>
        <w:t>特克斯县政府采购中心</w:t>
      </w:r>
      <w:r>
        <w:rPr>
          <w:rStyle w:val="16"/>
          <w:rFonts w:hint="eastAsia" w:ascii="仿宋_GB2312" w:eastAsia="仿宋_GB2312" w:hAnsiTheme="minorEastAsia"/>
          <w:b w:val="0"/>
          <w:spacing w:val="-4"/>
          <w:sz w:val="28"/>
          <w:szCs w:val="28"/>
        </w:rPr>
        <w:t>整体绩效目标共设置一级指标</w:t>
      </w:r>
      <w:r>
        <w:rPr>
          <w:rStyle w:val="16"/>
          <w:rFonts w:hint="eastAsia" w:ascii="仿宋_GB2312" w:eastAsia="仿宋_GB2312" w:hAnsiTheme="minorEastAsia"/>
          <w:b w:val="0"/>
          <w:spacing w:val="-4"/>
          <w:sz w:val="28"/>
          <w:szCs w:val="28"/>
          <w:lang w:val="en-US" w:eastAsia="zh-CN"/>
        </w:rPr>
        <w:t>3</w:t>
      </w:r>
      <w:r>
        <w:rPr>
          <w:rStyle w:val="16"/>
          <w:rFonts w:hint="eastAsia" w:ascii="仿宋_GB2312" w:eastAsia="仿宋_GB2312" w:hAnsiTheme="minorEastAsia"/>
          <w:b w:val="0"/>
          <w:spacing w:val="-4"/>
          <w:sz w:val="28"/>
          <w:szCs w:val="28"/>
        </w:rPr>
        <w:t>个，二级指标</w:t>
      </w:r>
      <w:r>
        <w:rPr>
          <w:rStyle w:val="16"/>
          <w:rFonts w:hint="eastAsia" w:ascii="仿宋_GB2312" w:eastAsia="仿宋_GB2312" w:hAnsiTheme="minorEastAsia"/>
          <w:b w:val="0"/>
          <w:spacing w:val="-4"/>
          <w:sz w:val="28"/>
          <w:szCs w:val="28"/>
          <w:lang w:val="en-US" w:eastAsia="zh-CN"/>
        </w:rPr>
        <w:t>6</w:t>
      </w:r>
      <w:r>
        <w:rPr>
          <w:rStyle w:val="16"/>
          <w:rFonts w:hint="eastAsia" w:ascii="仿宋_GB2312" w:eastAsia="仿宋_GB2312" w:hAnsiTheme="minorEastAsia"/>
          <w:b w:val="0"/>
          <w:spacing w:val="-4"/>
          <w:sz w:val="28"/>
          <w:szCs w:val="28"/>
        </w:rPr>
        <w:t>个，三级指标</w:t>
      </w:r>
      <w:r>
        <w:rPr>
          <w:rStyle w:val="16"/>
          <w:rFonts w:hint="eastAsia" w:ascii="仿宋_GB2312" w:eastAsia="仿宋_GB2312" w:hAnsiTheme="minorEastAsia"/>
          <w:b w:val="0"/>
          <w:spacing w:val="-4"/>
          <w:sz w:val="28"/>
          <w:szCs w:val="28"/>
          <w:lang w:val="en-US" w:eastAsia="zh-CN"/>
        </w:rPr>
        <w:t>9</w:t>
      </w:r>
      <w:r>
        <w:rPr>
          <w:rStyle w:val="16"/>
          <w:rFonts w:hint="eastAsia" w:ascii="仿宋_GB2312" w:eastAsia="仿宋_GB2312" w:hAnsiTheme="minorEastAsia"/>
          <w:b w:val="0"/>
          <w:spacing w:val="-4"/>
          <w:sz w:val="28"/>
          <w:szCs w:val="28"/>
        </w:rPr>
        <w:t>个，详细说明如下</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1</w:t>
      </w:r>
      <w:r>
        <w:rPr>
          <w:rStyle w:val="16"/>
          <w:rFonts w:hint="eastAsia" w:ascii="仿宋_GB2312" w:hAnsi="宋体" w:eastAsia="仿宋_GB2312"/>
          <w:b w:val="0"/>
          <w:spacing w:val="-4"/>
          <w:sz w:val="28"/>
          <w:szCs w:val="28"/>
        </w:rPr>
        <w:t>、数量指标：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w:t>
      </w:r>
      <w:r>
        <w:rPr>
          <w:rStyle w:val="16"/>
          <w:rFonts w:hint="eastAsia" w:ascii="仿宋_GB2312" w:hAnsi="宋体" w:eastAsia="仿宋_GB2312"/>
          <w:b w:val="0"/>
          <w:spacing w:val="-4"/>
          <w:sz w:val="28"/>
          <w:szCs w:val="28"/>
          <w:lang w:eastAsia="zh-CN"/>
        </w:rPr>
        <w:t>保障在职人员人数</w:t>
      </w:r>
      <w:r>
        <w:rPr>
          <w:rStyle w:val="16"/>
          <w:rFonts w:hint="eastAsia" w:ascii="仿宋_GB2312" w:hAnsi="宋体" w:eastAsia="仿宋_GB2312"/>
          <w:b w:val="0"/>
          <w:spacing w:val="-4"/>
          <w:sz w:val="28"/>
          <w:szCs w:val="28"/>
        </w:rPr>
        <w:t>，指标值：≥3人  ，实际完成值：3</w:t>
      </w:r>
      <w:r>
        <w:rPr>
          <w:rStyle w:val="16"/>
          <w:rFonts w:hint="eastAsia" w:ascii="仿宋_GB2312" w:hAnsi="宋体" w:eastAsia="仿宋_GB2312"/>
          <w:b w:val="0"/>
          <w:spacing w:val="-4"/>
          <w:sz w:val="28"/>
          <w:szCs w:val="28"/>
          <w:lang w:val="en-US" w:eastAsia="zh-CN"/>
        </w:rPr>
        <w:t>人</w:t>
      </w:r>
      <w:r>
        <w:rPr>
          <w:rStyle w:val="16"/>
          <w:rFonts w:hint="eastAsia" w:ascii="仿宋_GB2312" w:hAnsi="宋体" w:eastAsia="仿宋_GB2312"/>
          <w:b w:val="0"/>
          <w:spacing w:val="-4"/>
          <w:sz w:val="28"/>
          <w:szCs w:val="28"/>
        </w:rPr>
        <w:t>，指标完成率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w:t>
      </w:r>
      <w:r>
        <w:rPr>
          <w:rStyle w:val="16"/>
          <w:rFonts w:hint="eastAsia" w:ascii="仿宋_GB2312" w:hAnsi="宋体" w:eastAsia="仿宋_GB2312"/>
          <w:b w:val="0"/>
          <w:spacing w:val="-4"/>
          <w:sz w:val="28"/>
          <w:szCs w:val="28"/>
          <w:lang w:eastAsia="zh-CN"/>
        </w:rPr>
        <w:t>保障运转人数</w:t>
      </w:r>
      <w:r>
        <w:rPr>
          <w:rStyle w:val="16"/>
          <w:rFonts w:hint="eastAsia" w:ascii="仿宋_GB2312" w:hAnsi="宋体" w:eastAsia="仿宋_GB2312"/>
          <w:b w:val="0"/>
          <w:spacing w:val="-4"/>
          <w:sz w:val="28"/>
          <w:szCs w:val="28"/>
        </w:rPr>
        <w:t>，指标值：≥3人，实际完成值：3人 ，指标完成率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、质量指标：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w:t>
      </w:r>
      <w:r>
        <w:rPr>
          <w:rStyle w:val="16"/>
          <w:rFonts w:hint="eastAsia" w:ascii="仿宋_GB2312" w:hAnsi="宋体" w:eastAsia="仿宋_GB2312"/>
          <w:b w:val="0"/>
          <w:spacing w:val="-4"/>
          <w:sz w:val="28"/>
          <w:szCs w:val="28"/>
          <w:lang w:eastAsia="zh-CN"/>
        </w:rPr>
        <w:t>工资及公用经费保障率</w:t>
      </w:r>
      <w:r>
        <w:rPr>
          <w:rStyle w:val="16"/>
          <w:rFonts w:hint="eastAsia" w:ascii="仿宋_GB2312" w:hAnsi="宋体" w:eastAsia="仿宋_GB2312"/>
          <w:b w:val="0"/>
          <w:spacing w:val="-4"/>
          <w:sz w:val="28"/>
          <w:szCs w:val="28"/>
        </w:rPr>
        <w:t>，指标值</w:t>
      </w:r>
      <w:r>
        <w:rPr>
          <w:rStyle w:val="16"/>
          <w:rFonts w:hint="eastAsia" w:ascii="仿宋_GB2312" w:hAnsi="宋体" w:eastAsia="仿宋_GB2312"/>
          <w:b w:val="0"/>
          <w:spacing w:val="-4"/>
          <w:sz w:val="28"/>
          <w:szCs w:val="28"/>
          <w:lang w:eastAsia="zh-CN"/>
        </w:rPr>
        <w:t>：</w:t>
      </w:r>
      <w:r>
        <w:rPr>
          <w:rStyle w:val="16"/>
          <w:rFonts w:hint="eastAsia" w:ascii="仿宋_GB2312" w:hAnsi="宋体" w:eastAsia="仿宋_GB2312"/>
          <w:b w:val="0"/>
          <w:spacing w:val="-4"/>
          <w:sz w:val="28"/>
          <w:szCs w:val="28"/>
        </w:rPr>
        <w:t>≧98%，实际完成值：</w:t>
      </w:r>
      <w:r>
        <w:rPr>
          <w:rStyle w:val="16"/>
          <w:rFonts w:hint="eastAsia" w:ascii="仿宋_GB2312" w:hAnsi="宋体" w:eastAsia="仿宋_GB2312"/>
          <w:b w:val="0"/>
          <w:spacing w:val="-4"/>
          <w:sz w:val="28"/>
          <w:szCs w:val="28"/>
          <w:lang w:val="en-US" w:eastAsia="zh-CN"/>
        </w:rPr>
        <w:t>98%</w:t>
      </w:r>
      <w:r>
        <w:rPr>
          <w:rStyle w:val="16"/>
          <w:rFonts w:hint="eastAsia" w:ascii="仿宋_GB2312" w:hAnsi="宋体" w:eastAsia="仿宋_GB2312"/>
          <w:b w:val="0"/>
          <w:spacing w:val="-4"/>
          <w:sz w:val="28"/>
          <w:szCs w:val="28"/>
        </w:rPr>
        <w:t>，指标完成率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3</w:t>
      </w:r>
      <w:r>
        <w:rPr>
          <w:rStyle w:val="16"/>
          <w:rFonts w:hint="eastAsia" w:ascii="仿宋_GB2312" w:hAnsi="宋体" w:eastAsia="仿宋_GB2312"/>
          <w:b w:val="0"/>
          <w:spacing w:val="-4"/>
          <w:sz w:val="28"/>
          <w:szCs w:val="28"/>
        </w:rPr>
        <w:t>、时效指标：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w:t>
      </w:r>
      <w:r>
        <w:rPr>
          <w:rStyle w:val="16"/>
          <w:rFonts w:hint="eastAsia" w:ascii="仿宋_GB2312" w:hAnsi="宋体" w:eastAsia="仿宋_GB2312"/>
          <w:b w:val="0"/>
          <w:spacing w:val="-4"/>
          <w:sz w:val="28"/>
          <w:szCs w:val="28"/>
          <w:lang w:eastAsia="zh-CN"/>
        </w:rPr>
        <w:t>资金发放及时性</w:t>
      </w:r>
      <w:r>
        <w:rPr>
          <w:rStyle w:val="16"/>
          <w:rFonts w:hint="eastAsia" w:ascii="仿宋_GB2312" w:hAnsi="宋体" w:eastAsia="仿宋_GB2312"/>
          <w:b w:val="0"/>
          <w:spacing w:val="-4"/>
          <w:sz w:val="28"/>
          <w:szCs w:val="28"/>
        </w:rPr>
        <w:t xml:space="preserve"> ，指标值：≧98% ，实际完成值：</w:t>
      </w:r>
      <w:r>
        <w:rPr>
          <w:rStyle w:val="16"/>
          <w:rFonts w:hint="eastAsia" w:ascii="仿宋_GB2312" w:hAnsi="宋体" w:eastAsia="仿宋_GB2312"/>
          <w:b w:val="0"/>
          <w:spacing w:val="-4"/>
          <w:sz w:val="28"/>
          <w:szCs w:val="28"/>
          <w:lang w:val="en-US" w:eastAsia="zh-CN"/>
        </w:rPr>
        <w:t>98%</w:t>
      </w:r>
      <w:r>
        <w:rPr>
          <w:rStyle w:val="16"/>
          <w:rFonts w:hint="eastAsia" w:ascii="仿宋_GB2312" w:hAnsi="宋体" w:eastAsia="仿宋_GB2312"/>
          <w:b w:val="0"/>
          <w:spacing w:val="-4"/>
          <w:sz w:val="28"/>
          <w:szCs w:val="28"/>
        </w:rPr>
        <w:t>，指标完成率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4</w:t>
      </w:r>
      <w:r>
        <w:rPr>
          <w:rStyle w:val="16"/>
          <w:rFonts w:hint="eastAsia" w:ascii="仿宋_GB2312" w:hAnsi="宋体" w:eastAsia="仿宋_GB2312"/>
          <w:b w:val="0"/>
          <w:spacing w:val="-4"/>
          <w:sz w:val="28"/>
          <w:szCs w:val="28"/>
        </w:rPr>
        <w:t>、成本指标：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w:t>
      </w:r>
      <w:r>
        <w:rPr>
          <w:rStyle w:val="16"/>
          <w:rFonts w:hint="eastAsia" w:ascii="仿宋_GB2312" w:hAnsi="宋体" w:eastAsia="仿宋_GB2312"/>
          <w:b w:val="0"/>
          <w:spacing w:val="-4"/>
          <w:sz w:val="28"/>
          <w:szCs w:val="28"/>
          <w:lang w:eastAsia="zh-CN"/>
        </w:rPr>
        <w:t>人均运转经费</w:t>
      </w:r>
      <w:r>
        <w:rPr>
          <w:rStyle w:val="16"/>
          <w:rFonts w:hint="eastAsia" w:ascii="仿宋_GB2312" w:hAnsi="宋体" w:eastAsia="仿宋_GB2312"/>
          <w:b w:val="0"/>
          <w:spacing w:val="-4"/>
          <w:sz w:val="28"/>
          <w:szCs w:val="28"/>
        </w:rPr>
        <w:t>，指标值：≦10.67万元，实际完成值： 10.67 ，指标完成率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hint="eastAsia" w:ascii="仿宋_GB2312" w:hAnsi="宋体" w:eastAsia="仿宋_GB2312"/>
          <w:b w:val="0"/>
          <w:spacing w:val="-4"/>
          <w:sz w:val="28"/>
          <w:szCs w:val="28"/>
          <w:lang w:eastAsia="zh-CN"/>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w:t>
      </w:r>
      <w:r>
        <w:rPr>
          <w:rStyle w:val="16"/>
          <w:rFonts w:hint="eastAsia" w:ascii="仿宋_GB2312" w:hAnsi="宋体" w:eastAsia="仿宋_GB2312"/>
          <w:b w:val="0"/>
          <w:spacing w:val="-4"/>
          <w:sz w:val="28"/>
          <w:szCs w:val="28"/>
          <w:lang w:eastAsia="zh-CN"/>
        </w:rPr>
        <w:t>保障人员人均支出标准</w:t>
      </w:r>
      <w:r>
        <w:rPr>
          <w:rStyle w:val="16"/>
          <w:rFonts w:hint="eastAsia" w:ascii="仿宋_GB2312" w:hAnsi="宋体" w:eastAsia="仿宋_GB2312"/>
          <w:b w:val="0"/>
          <w:spacing w:val="-4"/>
          <w:sz w:val="28"/>
          <w:szCs w:val="28"/>
        </w:rPr>
        <w:t xml:space="preserve"> ，指标值：≦0.57万元 ，实际完成值：0.57，指标完成率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r>
        <w:rPr>
          <w:rStyle w:val="16"/>
          <w:rFonts w:hint="eastAsia" w:ascii="仿宋_GB2312" w:hAnsi="宋体" w:eastAsia="仿宋_GB2312"/>
          <w:b w:val="0"/>
          <w:spacing w:val="-4"/>
          <w:sz w:val="28"/>
          <w:szCs w:val="28"/>
          <w:lang w:eastAsia="zh-CN"/>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6</w:t>
      </w:r>
      <w:r>
        <w:rPr>
          <w:rStyle w:val="16"/>
          <w:rFonts w:hint="eastAsia" w:ascii="仿宋_GB2312" w:hAnsi="宋体" w:eastAsia="仿宋_GB2312"/>
          <w:b w:val="0"/>
          <w:spacing w:val="-4"/>
          <w:sz w:val="28"/>
          <w:szCs w:val="28"/>
        </w:rPr>
        <w:t>、社会效益指标：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w:t>
      </w:r>
      <w:r>
        <w:rPr>
          <w:rStyle w:val="16"/>
          <w:rFonts w:hint="eastAsia" w:ascii="仿宋_GB2312" w:hAnsi="宋体" w:eastAsia="仿宋_GB2312"/>
          <w:b w:val="0"/>
          <w:spacing w:val="-4"/>
          <w:sz w:val="28"/>
          <w:szCs w:val="28"/>
          <w:lang w:eastAsia="zh-CN"/>
        </w:rPr>
        <w:t>业务保障能力</w:t>
      </w:r>
      <w:r>
        <w:rPr>
          <w:rStyle w:val="16"/>
          <w:rFonts w:hint="eastAsia" w:ascii="仿宋_GB2312" w:hAnsi="宋体" w:eastAsia="仿宋_GB2312"/>
          <w:b w:val="0"/>
          <w:spacing w:val="-4"/>
          <w:sz w:val="28"/>
          <w:szCs w:val="28"/>
        </w:rPr>
        <w:t>，指标值：有效提升，实际完成值：有效提升 ，指标完成率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9</w:t>
      </w:r>
      <w:r>
        <w:rPr>
          <w:rStyle w:val="16"/>
          <w:rFonts w:hint="eastAsia" w:ascii="仿宋_GB2312" w:hAnsi="宋体" w:eastAsia="仿宋_GB2312"/>
          <w:b w:val="0"/>
          <w:spacing w:val="-4"/>
          <w:sz w:val="28"/>
          <w:szCs w:val="28"/>
        </w:rPr>
        <w:t>、满意度指标：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w:t>
      </w:r>
      <w:r>
        <w:rPr>
          <w:rStyle w:val="16"/>
          <w:rFonts w:hint="eastAsia" w:ascii="仿宋_GB2312" w:hAnsi="宋体" w:eastAsia="仿宋_GB2312"/>
          <w:b w:val="0"/>
          <w:spacing w:val="-4"/>
          <w:sz w:val="28"/>
          <w:szCs w:val="28"/>
          <w:lang w:eastAsia="zh-CN"/>
        </w:rPr>
        <w:t>供应商满意度</w:t>
      </w:r>
      <w:r>
        <w:rPr>
          <w:rStyle w:val="16"/>
          <w:rFonts w:hint="eastAsia" w:ascii="仿宋_GB2312" w:hAnsi="宋体" w:eastAsia="仿宋_GB2312"/>
          <w:b w:val="0"/>
          <w:spacing w:val="-4"/>
          <w:sz w:val="28"/>
          <w:szCs w:val="28"/>
        </w:rPr>
        <w:t>，指标值：≧98%，实际完成值：98%，指标完成率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hint="eastAsia" w:ascii="仿宋_GB2312" w:hAnsi="宋体" w:eastAsia="仿宋_GB2312"/>
          <w:b w:val="0"/>
          <w:spacing w:val="-4"/>
          <w:sz w:val="28"/>
          <w:szCs w:val="28"/>
          <w:lang w:eastAsia="zh-CN"/>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w:t>
      </w:r>
      <w:r>
        <w:rPr>
          <w:rStyle w:val="16"/>
          <w:rFonts w:hint="eastAsia" w:ascii="仿宋_GB2312" w:hAnsi="宋体" w:eastAsia="仿宋_GB2312"/>
          <w:b w:val="0"/>
          <w:spacing w:val="-4"/>
          <w:sz w:val="28"/>
          <w:szCs w:val="28"/>
          <w:lang w:eastAsia="zh-CN"/>
        </w:rPr>
        <w:t>干部职工满意度</w:t>
      </w:r>
      <w:r>
        <w:rPr>
          <w:rStyle w:val="16"/>
          <w:rFonts w:hint="eastAsia" w:ascii="仿宋_GB2312" w:hAnsi="宋体" w:eastAsia="仿宋_GB2312"/>
          <w:b w:val="0"/>
          <w:spacing w:val="-4"/>
          <w:sz w:val="28"/>
          <w:szCs w:val="28"/>
        </w:rPr>
        <w:t xml:space="preserve"> ，指标值：≧98%，实际完成值：98%，指标完成率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r>
        <w:rPr>
          <w:rStyle w:val="16"/>
          <w:rFonts w:hint="eastAsia" w:ascii="仿宋_GB2312" w:hAnsi="宋体" w:eastAsia="仿宋_GB2312"/>
          <w:b w:val="0"/>
          <w:spacing w:val="-4"/>
          <w:sz w:val="28"/>
          <w:szCs w:val="28"/>
          <w:lang w:eastAsia="zh-CN"/>
        </w:rPr>
        <w:t>。</w:t>
      </w:r>
    </w:p>
    <w:p>
      <w:pPr>
        <w:pStyle w:val="3"/>
        <w:spacing w:line="360" w:lineRule="auto"/>
        <w:rPr>
          <w:rFonts w:ascii="仿宋" w:hAnsi="仿宋" w:eastAsia="仿宋"/>
          <w:sz w:val="36"/>
          <w:szCs w:val="36"/>
          <w:lang w:bidi="ar"/>
        </w:rPr>
      </w:pPr>
      <w:bookmarkStart w:id="27" w:name="_Toc70450317"/>
      <w:r>
        <w:rPr>
          <w:rFonts w:hint="eastAsia" w:ascii="仿宋" w:hAnsi="仿宋" w:eastAsia="仿宋"/>
          <w:sz w:val="36"/>
          <w:szCs w:val="36"/>
          <w:lang w:bidi="ar"/>
        </w:rPr>
        <w:t>六、存在的主要问题</w:t>
      </w:r>
      <w:bookmarkEnd w:id="27"/>
    </w:p>
    <w:p>
      <w:pPr>
        <w:pStyle w:val="12"/>
        <w:widowControl/>
        <w:spacing w:before="40" w:beforeAutospacing="0" w:after="0" w:afterAutospacing="0" w:line="520" w:lineRule="atLeast"/>
        <w:ind w:firstLine="52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一）由于个别项目指标到第四季度下达，在预算执行中造成个别预算子项调剂现象；对个别项目资金使用方面预算不够细致，出现实际支出数超出了预算申报数或出现项目资金结余数额多的情况，导致调剂频繁，缺乏预算编制的科学性。</w:t>
      </w:r>
    </w:p>
    <w:p>
      <w:pPr>
        <w:pStyle w:val="29"/>
        <w:numPr>
          <w:ilvl w:val="0"/>
          <w:numId w:val="4"/>
        </w:numPr>
        <w:spacing w:line="560" w:lineRule="exact"/>
        <w:ind w:firstLine="530" w:firstLineChars="195"/>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项目细化管理工作不足。项目经费包含小类项目较多，主要是办案人员出差办案费,办案审讯室维修经费,干警培训经费，办案车辆运行费，办案设备购置，信息及软件设备更新等，在执行过程中，办案人员出差办案费、干警培训经费的使用范围并不能把握到位，造成项目遇到各种不确定因素，财政资金无法发挥最大使用效益。</w:t>
      </w:r>
    </w:p>
    <w:p>
      <w:pPr>
        <w:pStyle w:val="29"/>
        <w:spacing w:line="560" w:lineRule="exact"/>
        <w:ind w:firstLine="544" w:firstLineChars="200"/>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三）预算绩效管理水平仍有欠缺。在2021年预算绩效管理工作中，存在“重投入轻管理、重支出轻绩效”的情况，对全面实施预算绩效管理的要求认识还不到位，项目申报、实施等环节与预算绩效管理各个环节联系不够紧密；同时预算绩效管理也是一项新工作，面对专业人手不足、绩效管理水平欠缺的情况下，坚持“滚石上山”，提升的空间还是很大。</w:t>
      </w:r>
    </w:p>
    <w:p>
      <w:pPr>
        <w:pStyle w:val="12"/>
        <w:widowControl/>
        <w:spacing w:before="40" w:beforeAutospacing="0" w:after="0" w:afterAutospacing="0" w:line="520" w:lineRule="atLeast"/>
        <w:ind w:firstLine="272" w:firstLineChars="10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（四）固定资产管理水平有待提高</w:t>
      </w:r>
    </w:p>
    <w:p>
      <w:pPr>
        <w:pStyle w:val="12"/>
        <w:widowControl/>
        <w:spacing w:before="40" w:beforeAutospacing="0" w:after="0" w:afterAutospacing="0" w:line="520" w:lineRule="atLeast"/>
        <w:ind w:firstLine="52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固定资产台账未及时与账面资产金额对账且末与实物进行清点及及时清理处置报废资产导致资产台账与账面资产金额存在差异,固定资产管理继续加强中。</w:t>
      </w:r>
    </w:p>
    <w:p>
      <w:pPr>
        <w:pStyle w:val="3"/>
        <w:numPr>
          <w:ilvl w:val="0"/>
          <w:numId w:val="5"/>
        </w:numPr>
        <w:spacing w:line="360" w:lineRule="auto"/>
        <w:rPr>
          <w:rFonts w:hint="eastAsia" w:ascii="仿宋" w:hAnsi="仿宋" w:eastAsia="仿宋"/>
          <w:sz w:val="36"/>
          <w:szCs w:val="36"/>
          <w:lang w:bidi="ar"/>
        </w:rPr>
      </w:pPr>
      <w:bookmarkStart w:id="28" w:name="_Toc70450318"/>
      <w:r>
        <w:rPr>
          <w:rFonts w:hint="eastAsia" w:ascii="仿宋" w:hAnsi="仿宋" w:eastAsia="仿宋"/>
          <w:sz w:val="36"/>
          <w:szCs w:val="36"/>
          <w:lang w:bidi="ar"/>
        </w:rPr>
        <w:t>改进措施和建议</w:t>
      </w:r>
      <w:bookmarkEnd w:id="28"/>
    </w:p>
    <w:p>
      <w:pPr>
        <w:pStyle w:val="12"/>
        <w:widowControl/>
        <w:spacing w:before="40" w:beforeAutospacing="0" w:after="0" w:afterAutospacing="0" w:line="520" w:lineRule="atLeast"/>
        <w:ind w:firstLine="52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(一)加强新行政单位会计制度和新预算法学习培训、规范账务处理，加强新《预算法》、《行政单位会计制度》 、《会计法》、《行政单位财务规则》等学习培训,规范部门预算收支核算。一是制定和完善基本支出、项目支出等各项支出标准,严格按项目进度执行预算,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w:t>
      </w:r>
    </w:p>
    <w:p>
      <w:pPr>
        <w:pStyle w:val="12"/>
        <w:widowControl/>
        <w:spacing w:before="40" w:beforeAutospacing="0" w:after="0" w:afterAutospacing="0" w:line="520" w:lineRule="atLeast"/>
        <w:ind w:firstLine="52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(二)完善管理制度,进-步加强资产管理。严格按照《固定资产管理办法》的规定，加强固定资产管理,及时登记、更新台账，加强资产卡片管理,对各类实物资产进行全面盘点,确保账账、账实相符。</w:t>
      </w:r>
    </w:p>
    <w:p>
      <w:pPr>
        <w:pStyle w:val="12"/>
        <w:widowControl/>
        <w:spacing w:before="40" w:beforeAutospacing="0" w:after="0" w:afterAutospacing="0" w:line="520" w:lineRule="atLeast"/>
        <w:ind w:firstLine="52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（三）加强学习。进一步明确如何参照考核体系，科学合理设定绩效目标，充分发挥预算绩效管理工作效用。</w:t>
      </w:r>
    </w:p>
    <w:p>
      <w:pPr>
        <w:pStyle w:val="12"/>
        <w:widowControl/>
        <w:spacing w:before="40" w:beforeAutospacing="0" w:after="0" w:afterAutospacing="0" w:line="520" w:lineRule="atLeast"/>
        <w:ind w:firstLine="52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（四）财务上，会计核算要更加详细，为本单位各项工作的开展、总结、评估提供有效数据资料支撑,为各项业务工作更好的开展提供帮助。</w:t>
      </w:r>
    </w:p>
    <w:p>
      <w:pPr>
        <w:pStyle w:val="12"/>
        <w:widowControl/>
        <w:spacing w:before="40" w:beforeAutospacing="0" w:after="0" w:afterAutospacing="0" w:line="520" w:lineRule="atLeast"/>
        <w:ind w:firstLine="52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（五）从源头上强化对专项资金预算管理。实行专项资金预算管理，结合单位实际, 按轻重缓急统筹安排编制预算,提高预算编制科学性和合理性,优化资金结构。</w:t>
      </w:r>
    </w:p>
    <w:p>
      <w:pPr>
        <w:pStyle w:val="12"/>
        <w:widowControl/>
        <w:spacing w:before="40" w:beforeAutospacing="0" w:after="0" w:afterAutospacing="0" w:line="520" w:lineRule="atLeast"/>
        <w:ind w:firstLine="52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（六）按时间进度分解资金使用计划。专项资金的使用，要事前做计划，事中进行控制，事后总结提高。合理安排资金使用,充分体现资金投向的目标和效益。</w:t>
      </w:r>
    </w:p>
    <w:p>
      <w:pPr>
        <w:pStyle w:val="12"/>
        <w:widowControl/>
        <w:spacing w:before="40" w:beforeAutospacing="0" w:after="0" w:afterAutospacing="0" w:line="520" w:lineRule="atLeast"/>
        <w:ind w:firstLine="52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七）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spacing w:line="360" w:lineRule="auto"/>
      </w:pPr>
    </w:p>
    <w:p>
      <w:pPr>
        <w:pStyle w:val="3"/>
        <w:spacing w:line="360" w:lineRule="auto"/>
        <w:rPr>
          <w:rStyle w:val="16"/>
          <w:rFonts w:hint="eastAsia" w:ascii="仿宋" w:hAnsi="仿宋" w:eastAsia="仿宋"/>
          <w:b/>
          <w:bCs/>
          <w:sz w:val="36"/>
          <w:szCs w:val="36"/>
        </w:rPr>
      </w:pPr>
      <w:bookmarkStart w:id="29" w:name="_Toc70450321"/>
    </w:p>
    <w:p>
      <w:pPr>
        <w:pStyle w:val="3"/>
        <w:spacing w:line="360" w:lineRule="auto"/>
        <w:rPr>
          <w:rStyle w:val="16"/>
          <w:rFonts w:hint="eastAsia" w:ascii="仿宋" w:hAnsi="仿宋" w:eastAsia="仿宋"/>
          <w:b/>
          <w:bCs/>
          <w:sz w:val="36"/>
          <w:szCs w:val="36"/>
        </w:rPr>
      </w:pPr>
    </w:p>
    <w:p>
      <w:pPr>
        <w:pStyle w:val="3"/>
        <w:spacing w:line="360" w:lineRule="auto"/>
        <w:rPr>
          <w:rStyle w:val="16"/>
          <w:rFonts w:hint="eastAsia" w:ascii="仿宋" w:hAnsi="仿宋" w:eastAsia="仿宋"/>
          <w:b/>
          <w:bCs/>
          <w:sz w:val="36"/>
          <w:szCs w:val="36"/>
        </w:rPr>
      </w:pPr>
    </w:p>
    <w:p>
      <w:pPr>
        <w:pStyle w:val="3"/>
        <w:spacing w:line="360" w:lineRule="auto"/>
        <w:rPr>
          <w:rStyle w:val="16"/>
          <w:rFonts w:hint="eastAsia" w:ascii="仿宋" w:hAnsi="仿宋" w:eastAsia="仿宋"/>
          <w:b/>
          <w:bCs/>
          <w:sz w:val="36"/>
          <w:szCs w:val="36"/>
        </w:rPr>
      </w:pPr>
    </w:p>
    <w:p>
      <w:pPr>
        <w:pStyle w:val="3"/>
        <w:spacing w:line="360" w:lineRule="auto"/>
        <w:rPr>
          <w:rStyle w:val="16"/>
          <w:rFonts w:hint="eastAsia" w:ascii="仿宋" w:hAnsi="仿宋" w:eastAsia="仿宋"/>
          <w:b/>
          <w:bCs/>
          <w:sz w:val="36"/>
          <w:szCs w:val="36"/>
        </w:rPr>
      </w:pPr>
    </w:p>
    <w:p>
      <w:pPr>
        <w:pStyle w:val="3"/>
        <w:spacing w:line="360" w:lineRule="auto"/>
        <w:rPr>
          <w:rStyle w:val="16"/>
          <w:rFonts w:hint="eastAsia" w:ascii="仿宋" w:hAnsi="仿宋" w:eastAsia="仿宋"/>
          <w:b/>
          <w:bCs/>
          <w:sz w:val="36"/>
          <w:szCs w:val="36"/>
        </w:rPr>
      </w:pPr>
    </w:p>
    <w:p>
      <w:pPr>
        <w:pStyle w:val="3"/>
        <w:spacing w:line="360" w:lineRule="auto"/>
        <w:rPr>
          <w:rStyle w:val="16"/>
          <w:rFonts w:hint="eastAsia" w:ascii="仿宋" w:hAnsi="仿宋" w:eastAsia="仿宋"/>
          <w:b/>
          <w:bCs/>
          <w:sz w:val="36"/>
          <w:szCs w:val="36"/>
        </w:rPr>
      </w:pPr>
    </w:p>
    <w:p>
      <w:pPr>
        <w:rPr>
          <w:rStyle w:val="16"/>
          <w:rFonts w:hint="eastAsia" w:ascii="仿宋" w:hAnsi="仿宋" w:eastAsia="仿宋"/>
          <w:b/>
          <w:bCs/>
          <w:sz w:val="36"/>
          <w:szCs w:val="36"/>
        </w:rPr>
      </w:pPr>
    </w:p>
    <w:p>
      <w:pPr>
        <w:rPr>
          <w:rStyle w:val="16"/>
          <w:rFonts w:hint="eastAsia" w:ascii="仿宋" w:hAnsi="仿宋" w:eastAsia="仿宋"/>
          <w:b/>
          <w:bCs/>
          <w:sz w:val="36"/>
          <w:szCs w:val="36"/>
        </w:rPr>
      </w:pPr>
    </w:p>
    <w:bookmarkEnd w:id="29"/>
    <w:p/>
    <w:tbl>
      <w:tblPr>
        <w:tblStyle w:val="14"/>
        <w:tblW w:w="8213" w:type="dxa"/>
        <w:tblInd w:w="93" w:type="dxa"/>
        <w:tblLayout w:type="fixed"/>
        <w:tblCellMar>
          <w:top w:w="0" w:type="dxa"/>
          <w:left w:w="108" w:type="dxa"/>
          <w:bottom w:w="0" w:type="dxa"/>
          <w:right w:w="108" w:type="dxa"/>
        </w:tblCellMar>
      </w:tblPr>
      <w:tblGrid>
        <w:gridCol w:w="732"/>
        <w:gridCol w:w="1114"/>
        <w:gridCol w:w="1661"/>
        <w:gridCol w:w="784"/>
        <w:gridCol w:w="784"/>
        <w:gridCol w:w="785"/>
        <w:gridCol w:w="784"/>
        <w:gridCol w:w="392"/>
        <w:gridCol w:w="392"/>
        <w:gridCol w:w="785"/>
      </w:tblGrid>
      <w:tr>
        <w:tblPrEx>
          <w:tblCellMar>
            <w:top w:w="0" w:type="dxa"/>
            <w:left w:w="108" w:type="dxa"/>
            <w:bottom w:w="0" w:type="dxa"/>
            <w:right w:w="108" w:type="dxa"/>
          </w:tblCellMar>
        </w:tblPrEx>
        <w:trPr>
          <w:trHeight w:val="405" w:hRule="atLeast"/>
        </w:trPr>
        <w:tc>
          <w:tcPr>
            <w:tcW w:w="8213"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方正小标宋_GBK" w:hAnsi="宋体" w:eastAsia="方正小标宋_GBK" w:cs="宋体"/>
                <w:kern w:val="0"/>
                <w:sz w:val="44"/>
                <w:szCs w:val="44"/>
              </w:rPr>
            </w:pPr>
            <w:r>
              <w:rPr>
                <w:rFonts w:hint="eastAsia" w:ascii="宋体" w:hAnsi="宋体" w:eastAsia="宋体" w:cs="宋体"/>
                <w:b/>
                <w:bCs/>
                <w:i w:val="0"/>
                <w:iCs w:val="0"/>
                <w:color w:val="000000"/>
                <w:kern w:val="0"/>
                <w:sz w:val="32"/>
                <w:szCs w:val="32"/>
                <w:u w:val="none"/>
                <w:lang w:val="en-US" w:eastAsia="zh-CN" w:bidi="ar"/>
              </w:rPr>
              <w:t>部门整体支出绩效目标自评表</w:t>
            </w:r>
          </w:p>
        </w:tc>
      </w:tr>
      <w:tr>
        <w:tblPrEx>
          <w:tblCellMar>
            <w:top w:w="0" w:type="dxa"/>
            <w:left w:w="108" w:type="dxa"/>
            <w:bottom w:w="0" w:type="dxa"/>
            <w:right w:w="108" w:type="dxa"/>
          </w:tblCellMar>
        </w:tblPrEx>
        <w:trPr>
          <w:trHeight w:val="285" w:hRule="atLeast"/>
        </w:trPr>
        <w:tc>
          <w:tcPr>
            <w:tcW w:w="8213"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32"/>
                <w:szCs w:val="32"/>
                <w:u w:val="none"/>
                <w:lang w:val="en-US" w:eastAsia="zh-CN" w:bidi="ar"/>
              </w:rPr>
              <w:t>(2021年)</w:t>
            </w:r>
          </w:p>
        </w:tc>
      </w:tr>
      <w:tr>
        <w:tblPrEx>
          <w:tblCellMar>
            <w:top w:w="0" w:type="dxa"/>
            <w:left w:w="108" w:type="dxa"/>
            <w:bottom w:w="0" w:type="dxa"/>
            <w:right w:w="108" w:type="dxa"/>
          </w:tblCellMar>
        </w:tblPrEx>
        <w:trPr>
          <w:trHeight w:val="285" w:hRule="atLeast"/>
        </w:trPr>
        <w:tc>
          <w:tcPr>
            <w:tcW w:w="1846" w:type="dxa"/>
            <w:gridSpan w:val="2"/>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部门（单位）名称</w:t>
            </w:r>
          </w:p>
        </w:tc>
        <w:tc>
          <w:tcPr>
            <w:tcW w:w="6367" w:type="dxa"/>
            <w:gridSpan w:val="8"/>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4"/>
                <w:szCs w:val="24"/>
                <w:u w:val="none"/>
                <w:lang w:val="en-US" w:eastAsia="zh-CN" w:bidi="ar"/>
              </w:rPr>
              <w:t>特克斯县政府采购中心</w:t>
            </w:r>
          </w:p>
        </w:tc>
      </w:tr>
      <w:tr>
        <w:tblPrEx>
          <w:tblCellMar>
            <w:top w:w="0" w:type="dxa"/>
            <w:left w:w="108" w:type="dxa"/>
            <w:bottom w:w="0" w:type="dxa"/>
            <w:right w:w="108" w:type="dxa"/>
          </w:tblCellMar>
        </w:tblPrEx>
        <w:trPr>
          <w:trHeight w:val="285" w:hRule="atLeast"/>
        </w:trPr>
        <w:tc>
          <w:tcPr>
            <w:tcW w:w="732" w:type="dxa"/>
            <w:vMerge w:val="restart"/>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年度主要任务</w:t>
            </w:r>
          </w:p>
        </w:tc>
        <w:tc>
          <w:tcPr>
            <w:tcW w:w="1114" w:type="dxa"/>
            <w:vMerge w:val="restart"/>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任务名称</w:t>
            </w:r>
          </w:p>
        </w:tc>
        <w:tc>
          <w:tcPr>
            <w:tcW w:w="1661" w:type="dxa"/>
            <w:vMerge w:val="restart"/>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主要内容</w:t>
            </w:r>
          </w:p>
        </w:tc>
        <w:tc>
          <w:tcPr>
            <w:tcW w:w="2353"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预算金额（万元）</w:t>
            </w:r>
          </w:p>
        </w:tc>
        <w:tc>
          <w:tcPr>
            <w:tcW w:w="2353"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实际执行（万元）</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114"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kern w:val="0"/>
                <w:sz w:val="24"/>
              </w:rPr>
            </w:pPr>
          </w:p>
        </w:tc>
        <w:tc>
          <w:tcPr>
            <w:tcW w:w="1661"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7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总额</w:t>
            </w:r>
          </w:p>
        </w:tc>
        <w:tc>
          <w:tcPr>
            <w:tcW w:w="7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财政拨款</w:t>
            </w:r>
          </w:p>
        </w:tc>
        <w:tc>
          <w:tcPr>
            <w:tcW w:w="78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其他资金</w:t>
            </w:r>
          </w:p>
        </w:tc>
        <w:tc>
          <w:tcPr>
            <w:tcW w:w="784"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b/>
                <w:bCs/>
                <w:i w:val="0"/>
                <w:iCs w:val="0"/>
                <w:color w:val="000000"/>
                <w:kern w:val="0"/>
                <w:sz w:val="24"/>
                <w:szCs w:val="24"/>
                <w:u w:val="none"/>
                <w:lang w:val="en-US" w:eastAsia="zh-CN" w:bidi="ar"/>
              </w:rPr>
              <w:t>总额</w:t>
            </w:r>
          </w:p>
        </w:tc>
        <w:tc>
          <w:tcPr>
            <w:tcW w:w="784" w:type="dxa"/>
            <w:gridSpan w:val="2"/>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财政拨款</w:t>
            </w:r>
          </w:p>
        </w:tc>
        <w:tc>
          <w:tcPr>
            <w:tcW w:w="78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其他资金</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14" w:type="dxa"/>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人员保障</w:t>
            </w:r>
          </w:p>
        </w:tc>
        <w:tc>
          <w:tcPr>
            <w:tcW w:w="166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用于保障部门单位人员发放工资福利支出及对个人和家庭补助</w:t>
            </w:r>
          </w:p>
        </w:tc>
        <w:tc>
          <w:tcPr>
            <w:tcW w:w="7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32.00 </w:t>
            </w:r>
          </w:p>
        </w:tc>
        <w:tc>
          <w:tcPr>
            <w:tcW w:w="7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32.00 </w:t>
            </w:r>
          </w:p>
        </w:tc>
        <w:tc>
          <w:tcPr>
            <w:tcW w:w="78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0.00 </w:t>
            </w:r>
          </w:p>
        </w:tc>
        <w:tc>
          <w:tcPr>
            <w:tcW w:w="7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32.00 </w:t>
            </w:r>
          </w:p>
        </w:tc>
        <w:tc>
          <w:tcPr>
            <w:tcW w:w="784"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0"/>
                <w:szCs w:val="20"/>
                <w:u w:val="none"/>
                <w:lang w:val="en-US" w:eastAsia="zh-CN" w:bidi="ar"/>
              </w:rPr>
              <w:t xml:space="preserve">32.00 </w:t>
            </w:r>
          </w:p>
        </w:tc>
        <w:tc>
          <w:tcPr>
            <w:tcW w:w="78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0"/>
                <w:szCs w:val="20"/>
                <w:u w:val="none"/>
                <w:lang w:val="en-US" w:eastAsia="zh-CN" w:bidi="ar"/>
              </w:rPr>
              <w:t xml:space="preserve">0.00 </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14"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20"/>
                <w:szCs w:val="20"/>
                <w:lang w:eastAsia="zh-CN"/>
              </w:rPr>
            </w:pPr>
            <w:r>
              <w:rPr>
                <w:rFonts w:hint="eastAsia" w:ascii="宋体" w:hAnsi="宋体" w:eastAsia="宋体" w:cs="宋体"/>
                <w:i w:val="0"/>
                <w:iCs w:val="0"/>
                <w:color w:val="000000"/>
                <w:kern w:val="0"/>
                <w:sz w:val="20"/>
                <w:szCs w:val="20"/>
                <w:u w:val="none"/>
                <w:lang w:val="en-US" w:eastAsia="zh-CN" w:bidi="ar"/>
              </w:rPr>
              <w:t>人员保障</w:t>
            </w:r>
          </w:p>
        </w:tc>
        <w:tc>
          <w:tcPr>
            <w:tcW w:w="1661" w:type="dxa"/>
            <w:tcBorders>
              <w:top w:val="nil"/>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用于日常办公费、取暖费、三公经费、工会经费、福利费及其它商品和服务支出</w:t>
            </w:r>
          </w:p>
        </w:tc>
        <w:tc>
          <w:tcPr>
            <w:tcW w:w="784"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kern w:val="0"/>
                <w:sz w:val="20"/>
                <w:szCs w:val="20"/>
                <w:lang w:val="en-US" w:eastAsia="zh-CN"/>
              </w:rPr>
            </w:pPr>
            <w:r>
              <w:rPr>
                <w:rFonts w:hint="eastAsia" w:ascii="宋体" w:hAnsi="宋体" w:eastAsia="宋体" w:cs="宋体"/>
                <w:i w:val="0"/>
                <w:iCs w:val="0"/>
                <w:color w:val="000000"/>
                <w:kern w:val="0"/>
                <w:sz w:val="20"/>
                <w:szCs w:val="20"/>
                <w:u w:val="none"/>
                <w:lang w:val="en-US" w:eastAsia="zh-CN" w:bidi="ar"/>
              </w:rPr>
              <w:t xml:space="preserve">1.70 </w:t>
            </w:r>
          </w:p>
        </w:tc>
        <w:tc>
          <w:tcPr>
            <w:tcW w:w="7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kern w:val="0"/>
                <w:sz w:val="20"/>
                <w:szCs w:val="20"/>
                <w:lang w:val="en-US" w:eastAsia="zh-CN"/>
              </w:rPr>
            </w:pPr>
            <w:r>
              <w:rPr>
                <w:rFonts w:hint="eastAsia" w:ascii="宋体" w:hAnsi="宋体" w:eastAsia="宋体" w:cs="宋体"/>
                <w:i w:val="0"/>
                <w:iCs w:val="0"/>
                <w:color w:val="000000"/>
                <w:kern w:val="0"/>
                <w:sz w:val="20"/>
                <w:szCs w:val="20"/>
                <w:u w:val="none"/>
                <w:lang w:val="en-US" w:eastAsia="zh-CN" w:bidi="ar"/>
              </w:rPr>
              <w:t xml:space="preserve">1.70 </w:t>
            </w:r>
          </w:p>
        </w:tc>
        <w:tc>
          <w:tcPr>
            <w:tcW w:w="78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0.00 </w:t>
            </w:r>
          </w:p>
        </w:tc>
        <w:tc>
          <w:tcPr>
            <w:tcW w:w="7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1.70 </w:t>
            </w:r>
          </w:p>
        </w:tc>
        <w:tc>
          <w:tcPr>
            <w:tcW w:w="784"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0"/>
                <w:szCs w:val="20"/>
              </w:rPr>
            </w:pPr>
            <w:r>
              <w:rPr>
                <w:rFonts w:hint="eastAsia" w:ascii="宋体" w:hAnsi="宋体" w:eastAsia="宋体" w:cs="宋体"/>
                <w:b/>
                <w:bCs/>
                <w:i w:val="0"/>
                <w:iCs w:val="0"/>
                <w:color w:val="000000"/>
                <w:kern w:val="0"/>
                <w:sz w:val="20"/>
                <w:szCs w:val="20"/>
                <w:u w:val="none"/>
                <w:lang w:val="en-US" w:eastAsia="zh-CN" w:bidi="ar"/>
              </w:rPr>
              <w:t xml:space="preserve">1.70 </w:t>
            </w:r>
          </w:p>
        </w:tc>
        <w:tc>
          <w:tcPr>
            <w:tcW w:w="78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0"/>
                <w:szCs w:val="20"/>
              </w:rPr>
            </w:pPr>
            <w:r>
              <w:rPr>
                <w:rFonts w:hint="eastAsia" w:ascii="宋体" w:hAnsi="宋体" w:eastAsia="宋体" w:cs="宋体"/>
                <w:b/>
                <w:bCs/>
                <w:i w:val="0"/>
                <w:iCs w:val="0"/>
                <w:color w:val="000000"/>
                <w:kern w:val="0"/>
                <w:sz w:val="20"/>
                <w:szCs w:val="20"/>
                <w:u w:val="none"/>
                <w:lang w:val="en-US" w:eastAsia="zh-CN" w:bidi="ar"/>
              </w:rPr>
              <w:t xml:space="preserve">0.00 </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2775"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kern w:val="0"/>
                <w:sz w:val="20"/>
                <w:szCs w:val="20"/>
                <w:lang w:val="en-US" w:eastAsia="zh-CN"/>
              </w:rPr>
            </w:pPr>
            <w:r>
              <w:rPr>
                <w:rFonts w:hint="eastAsia" w:ascii="宋体" w:hAnsi="宋体" w:eastAsia="宋体" w:cs="宋体"/>
                <w:b/>
                <w:bCs/>
                <w:i w:val="0"/>
                <w:iCs w:val="0"/>
                <w:color w:val="000000"/>
                <w:kern w:val="0"/>
                <w:sz w:val="24"/>
                <w:szCs w:val="24"/>
                <w:u w:val="none"/>
                <w:lang w:val="en-US" w:eastAsia="zh-CN" w:bidi="ar"/>
              </w:rPr>
              <w:t>金额合计</w:t>
            </w:r>
          </w:p>
        </w:tc>
        <w:tc>
          <w:tcPr>
            <w:tcW w:w="784" w:type="dxa"/>
            <w:tcBorders>
              <w:top w:val="nil"/>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0"/>
                <w:szCs w:val="20"/>
              </w:rPr>
            </w:pPr>
            <w:r>
              <w:rPr>
                <w:rFonts w:hint="eastAsia" w:ascii="宋体" w:hAnsi="宋体" w:eastAsia="宋体" w:cs="宋体"/>
                <w:i w:val="0"/>
                <w:iCs w:val="0"/>
                <w:color w:val="000000"/>
                <w:kern w:val="0"/>
                <w:sz w:val="24"/>
                <w:szCs w:val="24"/>
                <w:u w:val="none"/>
                <w:lang w:val="en-US" w:eastAsia="zh-CN" w:bidi="ar"/>
              </w:rPr>
              <w:t xml:space="preserve">33.70 </w:t>
            </w:r>
          </w:p>
        </w:tc>
        <w:tc>
          <w:tcPr>
            <w:tcW w:w="784"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kern w:val="0"/>
                <w:sz w:val="20"/>
                <w:szCs w:val="20"/>
                <w:lang w:val="en-US" w:eastAsia="zh-CN"/>
              </w:rPr>
            </w:pPr>
            <w:r>
              <w:rPr>
                <w:rFonts w:hint="eastAsia" w:ascii="宋体" w:hAnsi="宋体" w:eastAsia="宋体" w:cs="宋体"/>
                <w:i w:val="0"/>
                <w:iCs w:val="0"/>
                <w:color w:val="000000"/>
                <w:kern w:val="0"/>
                <w:sz w:val="24"/>
                <w:szCs w:val="24"/>
                <w:u w:val="none"/>
                <w:lang w:val="en-US" w:eastAsia="zh-CN" w:bidi="ar"/>
              </w:rPr>
              <w:t xml:space="preserve">33.70 </w:t>
            </w:r>
          </w:p>
        </w:tc>
        <w:tc>
          <w:tcPr>
            <w:tcW w:w="78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kern w:val="0"/>
                <w:sz w:val="20"/>
                <w:szCs w:val="20"/>
                <w:lang w:val="en-US" w:eastAsia="zh-CN"/>
              </w:rPr>
            </w:pPr>
            <w:r>
              <w:rPr>
                <w:rFonts w:hint="eastAsia" w:ascii="宋体" w:hAnsi="宋体" w:eastAsia="宋体" w:cs="宋体"/>
                <w:i w:val="0"/>
                <w:iCs w:val="0"/>
                <w:color w:val="000000"/>
                <w:kern w:val="0"/>
                <w:sz w:val="24"/>
                <w:szCs w:val="24"/>
                <w:u w:val="none"/>
                <w:lang w:val="en-US" w:eastAsia="zh-CN" w:bidi="ar"/>
              </w:rPr>
              <w:t xml:space="preserve">0.00 </w:t>
            </w:r>
          </w:p>
        </w:tc>
        <w:tc>
          <w:tcPr>
            <w:tcW w:w="7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0"/>
                <w:szCs w:val="20"/>
              </w:rPr>
            </w:pPr>
            <w:r>
              <w:rPr>
                <w:rFonts w:hint="eastAsia" w:ascii="宋体" w:hAnsi="宋体" w:eastAsia="宋体" w:cs="宋体"/>
                <w:i w:val="0"/>
                <w:iCs w:val="0"/>
                <w:color w:val="000000"/>
                <w:kern w:val="0"/>
                <w:sz w:val="24"/>
                <w:szCs w:val="24"/>
                <w:u w:val="none"/>
                <w:lang w:val="en-US" w:eastAsia="zh-CN" w:bidi="ar"/>
              </w:rPr>
              <w:t xml:space="preserve">33.70 </w:t>
            </w:r>
          </w:p>
        </w:tc>
        <w:tc>
          <w:tcPr>
            <w:tcW w:w="784"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0"/>
                <w:szCs w:val="20"/>
              </w:rPr>
            </w:pPr>
            <w:r>
              <w:rPr>
                <w:rFonts w:hint="eastAsia" w:ascii="宋体" w:hAnsi="宋体" w:eastAsia="宋体" w:cs="宋体"/>
                <w:b/>
                <w:bCs/>
                <w:i w:val="0"/>
                <w:iCs w:val="0"/>
                <w:color w:val="000000"/>
                <w:kern w:val="0"/>
                <w:sz w:val="24"/>
                <w:szCs w:val="24"/>
                <w:u w:val="none"/>
                <w:lang w:val="en-US" w:eastAsia="zh-CN" w:bidi="ar"/>
              </w:rPr>
              <w:t xml:space="preserve">33.70 </w:t>
            </w:r>
          </w:p>
        </w:tc>
        <w:tc>
          <w:tcPr>
            <w:tcW w:w="78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0"/>
                <w:szCs w:val="20"/>
              </w:rPr>
            </w:pPr>
            <w:r>
              <w:rPr>
                <w:rFonts w:hint="eastAsia" w:ascii="宋体" w:hAnsi="宋体" w:eastAsia="宋体" w:cs="宋体"/>
                <w:b/>
                <w:bCs/>
                <w:i w:val="0"/>
                <w:iCs w:val="0"/>
                <w:color w:val="000000"/>
                <w:kern w:val="0"/>
                <w:sz w:val="24"/>
                <w:szCs w:val="24"/>
                <w:u w:val="none"/>
                <w:lang w:val="en-US" w:eastAsia="zh-CN" w:bidi="ar"/>
              </w:rPr>
              <w:t xml:space="preserve">0.00 </w:t>
            </w:r>
          </w:p>
        </w:tc>
      </w:tr>
      <w:tr>
        <w:tblPrEx>
          <w:tblCellMar>
            <w:top w:w="0" w:type="dxa"/>
            <w:left w:w="108" w:type="dxa"/>
            <w:bottom w:w="0" w:type="dxa"/>
            <w:right w:w="108" w:type="dxa"/>
          </w:tblCellMar>
        </w:tblPrEx>
        <w:trPr>
          <w:trHeight w:val="285" w:hRule="atLeast"/>
        </w:trPr>
        <w:tc>
          <w:tcPr>
            <w:tcW w:w="732"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年度总体目标</w:t>
            </w:r>
          </w:p>
        </w:tc>
        <w:tc>
          <w:tcPr>
            <w:tcW w:w="3559"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0"/>
                <w:szCs w:val="20"/>
              </w:rPr>
            </w:pPr>
            <w:r>
              <w:rPr>
                <w:rFonts w:hint="eastAsia" w:ascii="宋体" w:hAnsi="宋体" w:eastAsia="宋体" w:cs="宋体"/>
                <w:b/>
                <w:bCs/>
                <w:i w:val="0"/>
                <w:iCs w:val="0"/>
                <w:color w:val="000000"/>
                <w:kern w:val="0"/>
                <w:sz w:val="24"/>
                <w:szCs w:val="24"/>
                <w:u w:val="none"/>
                <w:lang w:val="en-US" w:eastAsia="zh-CN" w:bidi="ar"/>
              </w:rPr>
              <w:t>预期目标</w:t>
            </w:r>
          </w:p>
        </w:tc>
        <w:tc>
          <w:tcPr>
            <w:tcW w:w="3922"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0"/>
                <w:szCs w:val="20"/>
              </w:rPr>
            </w:pPr>
            <w:r>
              <w:rPr>
                <w:rFonts w:hint="eastAsia" w:ascii="宋体" w:hAnsi="宋体" w:eastAsia="宋体" w:cs="宋体"/>
                <w:b/>
                <w:bCs/>
                <w:i w:val="0"/>
                <w:iCs w:val="0"/>
                <w:color w:val="000000"/>
                <w:kern w:val="0"/>
                <w:sz w:val="24"/>
                <w:szCs w:val="24"/>
                <w:u w:val="none"/>
                <w:lang w:val="en-US" w:eastAsia="zh-CN" w:bidi="ar"/>
              </w:rPr>
              <w:t>实际完成目标</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3559"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目标1：保证我单位财政供养人员基本工资、津补贴、艰边补预算的收支。                                                                                                目标2：保证单位工作正常开展和各项任务正常开展。                                                                                            目标3：保证队伍稳定的基础，提供优质服务的资金保障。</w:t>
            </w:r>
          </w:p>
        </w:tc>
        <w:tc>
          <w:tcPr>
            <w:tcW w:w="3922" w:type="dxa"/>
            <w:gridSpan w:val="6"/>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1：保证我单位财政供养人员基本工资、津补贴、艰边补预算的收支。                                                                                               2：保证单位工作正常开展和各项任务正常开展。                                                                                            3：保证队伍稳定的基础，提供优质服务的资金保障。</w:t>
            </w:r>
          </w:p>
        </w:tc>
      </w:tr>
      <w:tr>
        <w:tblPrEx>
          <w:tblCellMar>
            <w:top w:w="0" w:type="dxa"/>
            <w:left w:w="108" w:type="dxa"/>
            <w:bottom w:w="0" w:type="dxa"/>
            <w:right w:w="108" w:type="dxa"/>
          </w:tblCellMar>
        </w:tblPrEx>
        <w:trPr>
          <w:trHeight w:val="2070" w:hRule="atLeast"/>
        </w:trPr>
        <w:tc>
          <w:tcPr>
            <w:tcW w:w="732"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年度绩效指标</w:t>
            </w:r>
          </w:p>
        </w:tc>
        <w:tc>
          <w:tcPr>
            <w:tcW w:w="111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0"/>
                <w:szCs w:val="20"/>
              </w:rPr>
            </w:pPr>
            <w:r>
              <w:rPr>
                <w:rFonts w:hint="eastAsia" w:ascii="宋体" w:hAnsi="宋体" w:eastAsia="宋体" w:cs="宋体"/>
                <w:b/>
                <w:bCs/>
                <w:i w:val="0"/>
                <w:iCs w:val="0"/>
                <w:color w:val="000000"/>
                <w:kern w:val="0"/>
                <w:sz w:val="24"/>
                <w:szCs w:val="24"/>
                <w:u w:val="none"/>
                <w:lang w:val="en-US" w:eastAsia="zh-CN" w:bidi="ar"/>
              </w:rPr>
              <w:t>一级指标</w:t>
            </w:r>
          </w:p>
        </w:tc>
        <w:tc>
          <w:tcPr>
            <w:tcW w:w="1661"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二级指标</w:t>
            </w:r>
          </w:p>
        </w:tc>
        <w:tc>
          <w:tcPr>
            <w:tcW w:w="2353"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三级指标</w:t>
            </w:r>
          </w:p>
        </w:tc>
        <w:tc>
          <w:tcPr>
            <w:tcW w:w="1176"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0"/>
                <w:szCs w:val="20"/>
              </w:rPr>
            </w:pPr>
            <w:r>
              <w:rPr>
                <w:rFonts w:hint="eastAsia" w:ascii="宋体" w:hAnsi="宋体" w:eastAsia="宋体" w:cs="宋体"/>
                <w:b/>
                <w:bCs/>
                <w:i w:val="0"/>
                <w:iCs w:val="0"/>
                <w:color w:val="000000"/>
                <w:kern w:val="0"/>
                <w:sz w:val="24"/>
                <w:szCs w:val="24"/>
                <w:u w:val="none"/>
                <w:lang w:val="en-US" w:eastAsia="zh-CN" w:bidi="ar"/>
              </w:rPr>
              <w:t>预期指标值（包含数字及文字描述）</w:t>
            </w:r>
          </w:p>
        </w:tc>
        <w:tc>
          <w:tcPr>
            <w:tcW w:w="1177"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实际完成指标值（包含数字及文字描述）</w:t>
            </w:r>
          </w:p>
        </w:tc>
      </w:tr>
      <w:tr>
        <w:tblPrEx>
          <w:tblCellMar>
            <w:top w:w="0" w:type="dxa"/>
            <w:left w:w="108" w:type="dxa"/>
            <w:bottom w:w="0" w:type="dxa"/>
            <w:right w:w="108" w:type="dxa"/>
          </w:tblCellMar>
        </w:tblPrEx>
        <w:trPr>
          <w:trHeight w:val="885" w:hRule="atLeast"/>
        </w:trPr>
        <w:tc>
          <w:tcPr>
            <w:tcW w:w="732"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114" w:type="dxa"/>
            <w:vMerge w:val="restar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产出指标</w:t>
            </w:r>
          </w:p>
        </w:tc>
        <w:tc>
          <w:tcPr>
            <w:tcW w:w="1661" w:type="dxa"/>
            <w:vMerge w:val="restart"/>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数量指标</w:t>
            </w:r>
          </w:p>
        </w:tc>
        <w:tc>
          <w:tcPr>
            <w:tcW w:w="2353"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保障在职人员人数</w:t>
            </w:r>
          </w:p>
        </w:tc>
        <w:tc>
          <w:tcPr>
            <w:tcW w:w="1176"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4"/>
              </w:rPr>
            </w:pPr>
            <w:r>
              <w:rPr>
                <w:rFonts w:hint="eastAsia" w:ascii="宋体" w:hAnsi="宋体" w:eastAsia="宋体" w:cs="宋体"/>
                <w:i w:val="0"/>
                <w:iCs w:val="0"/>
                <w:color w:val="000000"/>
                <w:kern w:val="0"/>
                <w:sz w:val="20"/>
                <w:szCs w:val="20"/>
                <w:u w:val="none"/>
                <w:lang w:val="en-US" w:eastAsia="zh-CN" w:bidi="ar"/>
              </w:rPr>
              <w:t>≥3人</w:t>
            </w:r>
          </w:p>
        </w:tc>
        <w:tc>
          <w:tcPr>
            <w:tcW w:w="1177"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3人</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sz w:val="22"/>
                <w:szCs w:val="28"/>
              </w:rPr>
            </w:pPr>
          </w:p>
        </w:tc>
        <w:tc>
          <w:tcPr>
            <w:tcW w:w="1661"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kern w:val="0"/>
                <w:sz w:val="24"/>
              </w:rPr>
            </w:pPr>
          </w:p>
        </w:tc>
        <w:tc>
          <w:tcPr>
            <w:tcW w:w="2353"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保障运转人数</w:t>
            </w:r>
          </w:p>
        </w:tc>
        <w:tc>
          <w:tcPr>
            <w:tcW w:w="117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≥3人</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3人</w:t>
            </w:r>
          </w:p>
        </w:tc>
      </w:tr>
      <w:tr>
        <w:tblPrEx>
          <w:tblCellMar>
            <w:top w:w="0" w:type="dxa"/>
            <w:left w:w="108" w:type="dxa"/>
            <w:bottom w:w="0" w:type="dxa"/>
            <w:right w:w="108" w:type="dxa"/>
          </w:tblCellMar>
        </w:tblPrEx>
        <w:trPr>
          <w:trHeight w:val="357"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14"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661" w:type="dxa"/>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质量指标</w:t>
            </w:r>
          </w:p>
        </w:tc>
        <w:tc>
          <w:tcPr>
            <w:tcW w:w="2353"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工资及公用经费保障率</w:t>
            </w:r>
          </w:p>
        </w:tc>
        <w:tc>
          <w:tcPr>
            <w:tcW w:w="117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≧98%</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98%</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14"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661" w:type="dxa"/>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时效指标</w:t>
            </w:r>
          </w:p>
        </w:tc>
        <w:tc>
          <w:tcPr>
            <w:tcW w:w="2353"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资金发放及时性</w:t>
            </w:r>
          </w:p>
        </w:tc>
        <w:tc>
          <w:tcPr>
            <w:tcW w:w="117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≧98%</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98%</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14"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661"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成本指标</w:t>
            </w:r>
          </w:p>
        </w:tc>
        <w:tc>
          <w:tcPr>
            <w:tcW w:w="2353"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人均运转经费</w:t>
            </w:r>
          </w:p>
        </w:tc>
        <w:tc>
          <w:tcPr>
            <w:tcW w:w="117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≦10.67万元</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10.67万元</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14"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661"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kern w:val="0"/>
                <w:sz w:val="24"/>
              </w:rPr>
            </w:pPr>
          </w:p>
        </w:tc>
        <w:tc>
          <w:tcPr>
            <w:tcW w:w="2353"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保障人员人均支出标准</w:t>
            </w:r>
          </w:p>
        </w:tc>
        <w:tc>
          <w:tcPr>
            <w:tcW w:w="1176" w:type="dxa"/>
            <w:gridSpan w:val="2"/>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≦0.57万元</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0.57万元</w:t>
            </w:r>
          </w:p>
        </w:tc>
      </w:tr>
      <w:tr>
        <w:tblPrEx>
          <w:tblCellMar>
            <w:top w:w="0" w:type="dxa"/>
            <w:left w:w="108" w:type="dxa"/>
            <w:bottom w:w="0" w:type="dxa"/>
            <w:right w:w="108" w:type="dxa"/>
          </w:tblCellMar>
        </w:tblPrEx>
        <w:trPr>
          <w:trHeight w:val="609"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14"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效益指标</w:t>
            </w:r>
          </w:p>
        </w:tc>
        <w:tc>
          <w:tcPr>
            <w:tcW w:w="1661" w:type="dxa"/>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社会效益指标</w:t>
            </w:r>
          </w:p>
        </w:tc>
        <w:tc>
          <w:tcPr>
            <w:tcW w:w="2353"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业务保障能力</w:t>
            </w:r>
          </w:p>
        </w:tc>
        <w:tc>
          <w:tcPr>
            <w:tcW w:w="117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有效提升</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有效提升</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14"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0"/>
                <w:sz w:val="24"/>
                <w:lang w:eastAsia="zh-CN"/>
              </w:rPr>
            </w:pPr>
            <w:r>
              <w:rPr>
                <w:rFonts w:hint="eastAsia" w:ascii="宋体" w:hAnsi="宋体" w:eastAsia="宋体" w:cs="宋体"/>
                <w:i w:val="0"/>
                <w:iCs w:val="0"/>
                <w:color w:val="000000"/>
                <w:kern w:val="0"/>
                <w:sz w:val="24"/>
                <w:szCs w:val="24"/>
                <w:u w:val="none"/>
                <w:lang w:val="en-US" w:eastAsia="zh-CN" w:bidi="ar"/>
              </w:rPr>
              <w:t>满意度指标</w:t>
            </w:r>
          </w:p>
        </w:tc>
        <w:tc>
          <w:tcPr>
            <w:tcW w:w="1661"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满意度指标</w:t>
            </w:r>
          </w:p>
        </w:tc>
        <w:tc>
          <w:tcPr>
            <w:tcW w:w="2353"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供应商满意度 　</w:t>
            </w:r>
          </w:p>
        </w:tc>
        <w:tc>
          <w:tcPr>
            <w:tcW w:w="117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≧98%</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98%</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661"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kern w:val="0"/>
                <w:sz w:val="24"/>
              </w:rPr>
            </w:pPr>
          </w:p>
        </w:tc>
        <w:tc>
          <w:tcPr>
            <w:tcW w:w="2353"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干部职工满意度</w:t>
            </w:r>
          </w:p>
        </w:tc>
        <w:tc>
          <w:tcPr>
            <w:tcW w:w="117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≧98%</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98%</w:t>
            </w:r>
          </w:p>
        </w:tc>
      </w:tr>
    </w:tbl>
    <w:p>
      <w:pPr>
        <w:rPr>
          <w:rFonts w:ascii="仿宋" w:hAnsi="仿宋" w:eastAsia="仿宋" w:cs="宋体"/>
          <w:color w:val="333333"/>
          <w:sz w:val="32"/>
          <w:szCs w:val="32"/>
          <w:lang w:bidi="ar"/>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docPartObj>
        <w:docPartGallery w:val="autotext"/>
      </w:docPartObj>
    </w:sdtPr>
    <w:sdtEndPr>
      <w:rPr>
        <w:rFonts w:asciiTheme="minorEastAsia" w:hAnsiTheme="minorEastAsia"/>
        <w:sz w:val="28"/>
        <w:szCs w:val="28"/>
      </w:rPr>
    </w:sdtEndPr>
    <w:sdtContent>
      <w:p>
        <w:pPr>
          <w:pStyle w:val="7"/>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25 -</w:t>
        </w:r>
        <w:r>
          <w:rPr>
            <w:rFonts w:asciiTheme="minorEastAsia" w:hAnsiTheme="minorEastAsia"/>
            <w:sz w:val="28"/>
            <w:szCs w:val="28"/>
          </w:rP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CC06AD"/>
    <w:multiLevelType w:val="singleLevel"/>
    <w:tmpl w:val="94CC06AD"/>
    <w:lvl w:ilvl="0" w:tentative="0">
      <w:start w:val="1"/>
      <w:numFmt w:val="decimal"/>
      <w:suff w:val="nothing"/>
      <w:lvlText w:val="（%1）"/>
      <w:lvlJc w:val="left"/>
    </w:lvl>
  </w:abstractNum>
  <w:abstractNum w:abstractNumId="1">
    <w:nsid w:val="974496DF"/>
    <w:multiLevelType w:val="singleLevel"/>
    <w:tmpl w:val="974496DF"/>
    <w:lvl w:ilvl="0" w:tentative="0">
      <w:start w:val="7"/>
      <w:numFmt w:val="chineseCounting"/>
      <w:suff w:val="nothing"/>
      <w:lvlText w:val="%1、"/>
      <w:lvlJc w:val="left"/>
      <w:rPr>
        <w:rFonts w:hint="eastAsia"/>
      </w:rPr>
    </w:lvl>
  </w:abstractNum>
  <w:abstractNum w:abstractNumId="2">
    <w:nsid w:val="E41F1B0A"/>
    <w:multiLevelType w:val="singleLevel"/>
    <w:tmpl w:val="E41F1B0A"/>
    <w:lvl w:ilvl="0" w:tentative="0">
      <w:start w:val="2"/>
      <w:numFmt w:val="chineseCounting"/>
      <w:suff w:val="nothing"/>
      <w:lvlText w:val="（%1）"/>
      <w:lvlJc w:val="left"/>
      <w:rPr>
        <w:rFonts w:hint="eastAsia"/>
      </w:rPr>
    </w:lvl>
  </w:abstractNum>
  <w:abstractNum w:abstractNumId="3">
    <w:nsid w:val="686A72C4"/>
    <w:multiLevelType w:val="multilevel"/>
    <w:tmpl w:val="686A72C4"/>
    <w:lvl w:ilvl="0" w:tentative="0">
      <w:start w:val="3"/>
      <w:numFmt w:val="decimal"/>
      <w:lvlText w:val="%1、"/>
      <w:lvlJc w:val="left"/>
      <w:pPr>
        <w:ind w:left="0" w:firstLine="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E5E8953"/>
    <w:multiLevelType w:val="singleLevel"/>
    <w:tmpl w:val="7E5E8953"/>
    <w:lvl w:ilvl="0" w:tentative="0">
      <w:start w:val="1"/>
      <w:numFmt w:val="chineseCounting"/>
      <w:suff w:val="nothing"/>
      <w:lvlText w:val="%1、"/>
      <w:lvlJc w:val="left"/>
      <w:rPr>
        <w:rFonts w:hint="eastAsia"/>
      </w:r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k4ZjMzZTkxMDUzOWUwYzQ4OTViM2UwODBmYmY3N2QifQ=="/>
  </w:docVars>
  <w:rsids>
    <w:rsidRoot w:val="00633862"/>
    <w:rsid w:val="00025A44"/>
    <w:rsid w:val="00072084"/>
    <w:rsid w:val="0009422A"/>
    <w:rsid w:val="000B6B13"/>
    <w:rsid w:val="000D1DEE"/>
    <w:rsid w:val="000D3AFA"/>
    <w:rsid w:val="00105D60"/>
    <w:rsid w:val="001121F2"/>
    <w:rsid w:val="00112859"/>
    <w:rsid w:val="001173EB"/>
    <w:rsid w:val="00150C4C"/>
    <w:rsid w:val="00191BA3"/>
    <w:rsid w:val="001A2299"/>
    <w:rsid w:val="001A3A0E"/>
    <w:rsid w:val="001F630E"/>
    <w:rsid w:val="0022744B"/>
    <w:rsid w:val="00234372"/>
    <w:rsid w:val="00234B37"/>
    <w:rsid w:val="00246941"/>
    <w:rsid w:val="002764C7"/>
    <w:rsid w:val="002D075E"/>
    <w:rsid w:val="00303A08"/>
    <w:rsid w:val="003226C4"/>
    <w:rsid w:val="003E3DEF"/>
    <w:rsid w:val="003E7C70"/>
    <w:rsid w:val="0049337C"/>
    <w:rsid w:val="004C4C4D"/>
    <w:rsid w:val="004C6FF3"/>
    <w:rsid w:val="004E69F5"/>
    <w:rsid w:val="004E7AAC"/>
    <w:rsid w:val="00531A31"/>
    <w:rsid w:val="00533C6C"/>
    <w:rsid w:val="00593943"/>
    <w:rsid w:val="005A08A8"/>
    <w:rsid w:val="005B1250"/>
    <w:rsid w:val="005C33CE"/>
    <w:rsid w:val="006225D7"/>
    <w:rsid w:val="00633862"/>
    <w:rsid w:val="006379B7"/>
    <w:rsid w:val="006413B6"/>
    <w:rsid w:val="006910A7"/>
    <w:rsid w:val="00691310"/>
    <w:rsid w:val="006A7181"/>
    <w:rsid w:val="006C5BED"/>
    <w:rsid w:val="006D3947"/>
    <w:rsid w:val="00702D4A"/>
    <w:rsid w:val="007115C8"/>
    <w:rsid w:val="00713ADC"/>
    <w:rsid w:val="00725B9A"/>
    <w:rsid w:val="00754721"/>
    <w:rsid w:val="007713F8"/>
    <w:rsid w:val="007A7491"/>
    <w:rsid w:val="007A7874"/>
    <w:rsid w:val="00800784"/>
    <w:rsid w:val="00817432"/>
    <w:rsid w:val="008614D8"/>
    <w:rsid w:val="00875327"/>
    <w:rsid w:val="00886879"/>
    <w:rsid w:val="00890FC2"/>
    <w:rsid w:val="008E3F8A"/>
    <w:rsid w:val="00923468"/>
    <w:rsid w:val="00952782"/>
    <w:rsid w:val="0095580D"/>
    <w:rsid w:val="0097614B"/>
    <w:rsid w:val="00992D45"/>
    <w:rsid w:val="009A1625"/>
    <w:rsid w:val="009E5FF8"/>
    <w:rsid w:val="009F06F4"/>
    <w:rsid w:val="00A05135"/>
    <w:rsid w:val="00A43D21"/>
    <w:rsid w:val="00A55238"/>
    <w:rsid w:val="00AA5126"/>
    <w:rsid w:val="00AC4471"/>
    <w:rsid w:val="00AD16CD"/>
    <w:rsid w:val="00AF42EB"/>
    <w:rsid w:val="00B130FE"/>
    <w:rsid w:val="00B34A48"/>
    <w:rsid w:val="00B407C3"/>
    <w:rsid w:val="00B666A1"/>
    <w:rsid w:val="00BA1454"/>
    <w:rsid w:val="00C42609"/>
    <w:rsid w:val="00C4673D"/>
    <w:rsid w:val="00C76454"/>
    <w:rsid w:val="00C81F75"/>
    <w:rsid w:val="00CB1C9D"/>
    <w:rsid w:val="00CC7606"/>
    <w:rsid w:val="00CD2F35"/>
    <w:rsid w:val="00CE16E7"/>
    <w:rsid w:val="00CE61DB"/>
    <w:rsid w:val="00D26F3D"/>
    <w:rsid w:val="00D278CF"/>
    <w:rsid w:val="00D77626"/>
    <w:rsid w:val="00D81EE2"/>
    <w:rsid w:val="00DA67B8"/>
    <w:rsid w:val="00DB1085"/>
    <w:rsid w:val="00DD223C"/>
    <w:rsid w:val="00E213C7"/>
    <w:rsid w:val="00E41A31"/>
    <w:rsid w:val="00E7188B"/>
    <w:rsid w:val="00F006BD"/>
    <w:rsid w:val="00F17550"/>
    <w:rsid w:val="00F27120"/>
    <w:rsid w:val="00F341E0"/>
    <w:rsid w:val="00F36401"/>
    <w:rsid w:val="00F42445"/>
    <w:rsid w:val="00F44FCC"/>
    <w:rsid w:val="00F74974"/>
    <w:rsid w:val="00F829DE"/>
    <w:rsid w:val="00F84215"/>
    <w:rsid w:val="00F91CBB"/>
    <w:rsid w:val="052B7EFC"/>
    <w:rsid w:val="05EE404A"/>
    <w:rsid w:val="0900731D"/>
    <w:rsid w:val="0CEB258B"/>
    <w:rsid w:val="0E065399"/>
    <w:rsid w:val="0E9A5E97"/>
    <w:rsid w:val="0FEA7DAA"/>
    <w:rsid w:val="174803DB"/>
    <w:rsid w:val="1B5F4A17"/>
    <w:rsid w:val="1EB60E4D"/>
    <w:rsid w:val="224368B5"/>
    <w:rsid w:val="2C8536E5"/>
    <w:rsid w:val="30445579"/>
    <w:rsid w:val="30821391"/>
    <w:rsid w:val="328B2711"/>
    <w:rsid w:val="341726D4"/>
    <w:rsid w:val="374F0921"/>
    <w:rsid w:val="55A355AC"/>
    <w:rsid w:val="5DB6690D"/>
    <w:rsid w:val="600021BA"/>
    <w:rsid w:val="638F4702"/>
    <w:rsid w:val="69F003A0"/>
    <w:rsid w:val="70C90FB4"/>
    <w:rsid w:val="731E004D"/>
    <w:rsid w:val="76DB3EDC"/>
    <w:rsid w:val="7BF606D2"/>
    <w:rsid w:val="7CF94883"/>
    <w:rsid w:val="7E997835"/>
    <w:rsid w:val="7EFD7AB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toc 3"/>
    <w:basedOn w:val="1"/>
    <w:next w:val="1"/>
    <w:unhideWhenUsed/>
    <w:qFormat/>
    <w:uiPriority w:val="39"/>
    <w:pPr>
      <w:ind w:left="840" w:leftChars="400"/>
    </w:p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4"/>
    <w:basedOn w:val="1"/>
    <w:next w:val="1"/>
    <w:unhideWhenUsed/>
    <w:qFormat/>
    <w:uiPriority w:val="39"/>
    <w:pPr>
      <w:ind w:left="1260" w:leftChars="600"/>
    </w:pPr>
  </w:style>
  <w:style w:type="paragraph" w:styleId="10">
    <w:name w:val="Subtitle"/>
    <w:basedOn w:val="1"/>
    <w:next w:val="1"/>
    <w:link w:val="23"/>
    <w:qFormat/>
    <w:uiPriority w:val="11"/>
    <w:pPr>
      <w:spacing w:before="240" w:after="60" w:line="312" w:lineRule="auto"/>
      <w:jc w:val="center"/>
      <w:outlineLvl w:val="1"/>
    </w:pPr>
    <w:rPr>
      <w:b/>
      <w:bCs/>
      <w:kern w:val="28"/>
      <w:sz w:val="32"/>
      <w:szCs w:val="32"/>
    </w:rPr>
  </w:style>
  <w:style w:type="paragraph" w:styleId="11">
    <w:name w:val="toc 2"/>
    <w:basedOn w:val="1"/>
    <w:next w:val="1"/>
    <w:unhideWhenUsed/>
    <w:qFormat/>
    <w:uiPriority w:val="39"/>
    <w:pPr>
      <w:ind w:left="420" w:leftChars="200"/>
    </w:pPr>
  </w:style>
  <w:style w:type="paragraph" w:styleId="12">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3">
    <w:name w:val="Title"/>
    <w:basedOn w:val="1"/>
    <w:next w:val="1"/>
    <w:link w:val="21"/>
    <w:qFormat/>
    <w:uiPriority w:val="10"/>
    <w:pPr>
      <w:spacing w:before="240" w:after="60"/>
      <w:jc w:val="center"/>
      <w:outlineLvl w:val="0"/>
    </w:pPr>
    <w:rPr>
      <w:rFonts w:asciiTheme="majorHAnsi" w:hAnsiTheme="majorHAnsi" w:eastAsiaTheme="majorEastAsia" w:cstheme="majorBidi"/>
      <w:b/>
      <w:bCs/>
      <w:sz w:val="32"/>
      <w:szCs w:val="32"/>
    </w:rPr>
  </w:style>
  <w:style w:type="character" w:styleId="16">
    <w:name w:val="Strong"/>
    <w:basedOn w:val="15"/>
    <w:qFormat/>
    <w:uiPriority w:val="0"/>
    <w:rPr>
      <w:b/>
      <w:bCs/>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character" w:customStyle="1" w:styleId="18">
    <w:name w:val="页眉 字符"/>
    <w:basedOn w:val="15"/>
    <w:link w:val="8"/>
    <w:qFormat/>
    <w:uiPriority w:val="99"/>
    <w:rPr>
      <w:sz w:val="18"/>
      <w:szCs w:val="18"/>
    </w:rPr>
  </w:style>
  <w:style w:type="character" w:customStyle="1" w:styleId="19">
    <w:name w:val="页脚 字符"/>
    <w:basedOn w:val="15"/>
    <w:link w:val="7"/>
    <w:qFormat/>
    <w:uiPriority w:val="99"/>
    <w:rPr>
      <w:sz w:val="18"/>
      <w:szCs w:val="18"/>
    </w:rPr>
  </w:style>
  <w:style w:type="paragraph" w:styleId="20">
    <w:name w:val="List Paragraph"/>
    <w:basedOn w:val="1"/>
    <w:unhideWhenUsed/>
    <w:qFormat/>
    <w:uiPriority w:val="99"/>
    <w:pPr>
      <w:ind w:firstLine="420" w:firstLineChars="200"/>
    </w:pPr>
  </w:style>
  <w:style w:type="character" w:customStyle="1" w:styleId="21">
    <w:name w:val="标题 字符"/>
    <w:basedOn w:val="15"/>
    <w:link w:val="13"/>
    <w:qFormat/>
    <w:uiPriority w:val="10"/>
    <w:rPr>
      <w:rFonts w:asciiTheme="majorHAnsi" w:hAnsiTheme="majorHAnsi" w:eastAsiaTheme="majorEastAsia" w:cstheme="majorBidi"/>
      <w:b/>
      <w:bCs/>
      <w:sz w:val="32"/>
      <w:szCs w:val="32"/>
    </w:rPr>
  </w:style>
  <w:style w:type="character" w:customStyle="1" w:styleId="22">
    <w:name w:val="标题 2 字符"/>
    <w:basedOn w:val="15"/>
    <w:link w:val="3"/>
    <w:qFormat/>
    <w:uiPriority w:val="9"/>
    <w:rPr>
      <w:rFonts w:asciiTheme="majorHAnsi" w:hAnsiTheme="majorHAnsi" w:eastAsiaTheme="majorEastAsia" w:cstheme="majorBidi"/>
      <w:b/>
      <w:bCs/>
      <w:sz w:val="32"/>
      <w:szCs w:val="32"/>
    </w:rPr>
  </w:style>
  <w:style w:type="character" w:customStyle="1" w:styleId="23">
    <w:name w:val="副标题 字符"/>
    <w:basedOn w:val="15"/>
    <w:link w:val="10"/>
    <w:qFormat/>
    <w:uiPriority w:val="11"/>
    <w:rPr>
      <w:b/>
      <w:bCs/>
      <w:kern w:val="28"/>
      <w:sz w:val="32"/>
      <w:szCs w:val="32"/>
    </w:rPr>
  </w:style>
  <w:style w:type="character" w:customStyle="1" w:styleId="24">
    <w:name w:val="标题 3 字符"/>
    <w:basedOn w:val="15"/>
    <w:link w:val="4"/>
    <w:qFormat/>
    <w:uiPriority w:val="9"/>
    <w:rPr>
      <w:b/>
      <w:bCs/>
      <w:sz w:val="32"/>
      <w:szCs w:val="32"/>
    </w:rPr>
  </w:style>
  <w:style w:type="character" w:styleId="25">
    <w:name w:val="Placeholder Text"/>
    <w:basedOn w:val="15"/>
    <w:semiHidden/>
    <w:qFormat/>
    <w:uiPriority w:val="99"/>
    <w:rPr>
      <w:color w:val="808080"/>
    </w:rPr>
  </w:style>
  <w:style w:type="character" w:customStyle="1" w:styleId="26">
    <w:name w:val="标题 1 字符"/>
    <w:basedOn w:val="15"/>
    <w:link w:val="2"/>
    <w:qFormat/>
    <w:uiPriority w:val="9"/>
    <w:rPr>
      <w:b/>
      <w:bCs/>
      <w:kern w:val="44"/>
      <w:sz w:val="44"/>
      <w:szCs w:val="44"/>
    </w:rPr>
  </w:style>
  <w:style w:type="paragraph" w:customStyle="1" w:styleId="2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28">
    <w:name w:val="标题 4 字符"/>
    <w:basedOn w:val="15"/>
    <w:link w:val="5"/>
    <w:qFormat/>
    <w:uiPriority w:val="9"/>
    <w:rPr>
      <w:rFonts w:asciiTheme="majorHAnsi" w:hAnsiTheme="majorHAnsi" w:eastAsiaTheme="majorEastAsia" w:cstheme="majorBidi"/>
      <w:b/>
      <w:bCs/>
      <w:sz w:val="28"/>
      <w:szCs w:val="28"/>
    </w:rPr>
  </w:style>
  <w:style w:type="paragraph" w:customStyle="1" w:styleId="29">
    <w:name w:val="闻政-正文段落文字"/>
    <w:basedOn w:val="1"/>
    <w:qFormat/>
    <w:uiPriority w:val="3"/>
    <w:pPr>
      <w:spacing w:line="500" w:lineRule="exact"/>
      <w:ind w:firstLine="200"/>
    </w:pPr>
    <w:rPr>
      <w:rFonts w:ascii="Times New Roman" w:hAnsi="Times New Roman" w:cs="Times New Roman"/>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84F0B-0206-47D6-B558-695C9B4C76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17</Pages>
  <Words>6674</Words>
  <Characters>7024</Characters>
  <Lines>72</Lines>
  <Paragraphs>20</Paragraphs>
  <TotalTime>3</TotalTime>
  <ScaleCrop>false</ScaleCrop>
  <LinksUpToDate>false</LinksUpToDate>
  <CharactersWithSpaces>7462</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123</cp:lastModifiedBy>
  <dcterms:modified xsi:type="dcterms:W3CDTF">2022-05-26T05:02:35Z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5D000310A87B472E898642D3EC37F638</vt:lpwstr>
  </property>
</Properties>
</file>